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4D48" w:rsidRPr="00E44D48" w:rsidRDefault="00830457" w:rsidP="00FD1AA2">
      <w:pPr>
        <w:spacing w:after="240" w:line="360" w:lineRule="auto"/>
        <w:jc w:val="center"/>
        <w:rPr>
          <w:rFonts w:ascii="Times New Roman" w:hAnsi="Times New Roman"/>
          <w:b/>
          <w:bCs/>
          <w:sz w:val="32"/>
          <w:szCs w:val="32"/>
        </w:rPr>
      </w:pPr>
      <w:r w:rsidRPr="00E44D48">
        <w:rPr>
          <w:rFonts w:ascii="Times New Roman" w:hAnsi="Times New Roman"/>
          <w:b/>
          <w:bCs/>
          <w:sz w:val="32"/>
          <w:szCs w:val="32"/>
        </w:rPr>
        <w:t>CHAPTER I</w:t>
      </w:r>
    </w:p>
    <w:p w:rsidR="00830457" w:rsidRPr="00E44D48" w:rsidRDefault="00830457" w:rsidP="00FD1AA2">
      <w:pPr>
        <w:spacing w:after="240" w:line="360" w:lineRule="auto"/>
        <w:jc w:val="center"/>
        <w:rPr>
          <w:rFonts w:ascii="Times New Roman" w:hAnsi="Times New Roman"/>
          <w:b/>
          <w:bCs/>
          <w:sz w:val="32"/>
          <w:szCs w:val="32"/>
        </w:rPr>
      </w:pPr>
      <w:r w:rsidRPr="00E44D48">
        <w:rPr>
          <w:rFonts w:ascii="Times New Roman" w:hAnsi="Times New Roman"/>
          <w:b/>
          <w:bCs/>
          <w:sz w:val="32"/>
          <w:szCs w:val="28"/>
        </w:rPr>
        <w:t>INTRODUCTION</w:t>
      </w:r>
    </w:p>
    <w:p w:rsidR="000F4B61" w:rsidRPr="00FD1AA2" w:rsidRDefault="000F4B61" w:rsidP="00FD1AA2">
      <w:pPr>
        <w:spacing w:after="240" w:line="360" w:lineRule="auto"/>
        <w:jc w:val="both"/>
        <w:rPr>
          <w:rFonts w:ascii="Times New Roman" w:hAnsi="Times New Roman"/>
          <w:b/>
          <w:bCs/>
          <w:sz w:val="28"/>
          <w:szCs w:val="28"/>
        </w:rPr>
      </w:pPr>
    </w:p>
    <w:p w:rsidR="007D2984" w:rsidRPr="00FD1AA2" w:rsidRDefault="00A931A9" w:rsidP="00FD1AA2">
      <w:pPr>
        <w:spacing w:after="240" w:line="360" w:lineRule="auto"/>
        <w:jc w:val="both"/>
        <w:rPr>
          <w:rFonts w:ascii="Times New Roman" w:hAnsi="Times New Roman"/>
          <w:b/>
          <w:bCs/>
          <w:sz w:val="28"/>
          <w:szCs w:val="28"/>
        </w:rPr>
      </w:pPr>
      <w:r w:rsidRPr="00FD1AA2">
        <w:rPr>
          <w:rFonts w:ascii="Times New Roman" w:hAnsi="Times New Roman"/>
          <w:b/>
          <w:bCs/>
          <w:sz w:val="28"/>
          <w:szCs w:val="28"/>
        </w:rPr>
        <w:t>1.</w:t>
      </w:r>
      <w:r w:rsidR="001B7E9B" w:rsidRPr="00FD1AA2">
        <w:rPr>
          <w:rFonts w:ascii="Times New Roman" w:hAnsi="Times New Roman"/>
          <w:b/>
          <w:bCs/>
          <w:sz w:val="28"/>
          <w:szCs w:val="28"/>
        </w:rPr>
        <w:t>1</w:t>
      </w:r>
      <w:r w:rsidR="00E34B2B" w:rsidRPr="00FD1AA2">
        <w:rPr>
          <w:rFonts w:ascii="Times New Roman" w:hAnsi="Times New Roman"/>
          <w:b/>
          <w:bCs/>
          <w:sz w:val="28"/>
          <w:szCs w:val="28"/>
        </w:rPr>
        <w:tab/>
      </w:r>
      <w:r w:rsidR="006B3863" w:rsidRPr="00FD1AA2">
        <w:rPr>
          <w:rFonts w:ascii="Times New Roman" w:hAnsi="Times New Roman"/>
          <w:b/>
          <w:bCs/>
          <w:sz w:val="28"/>
          <w:szCs w:val="28"/>
        </w:rPr>
        <w:t xml:space="preserve">Background of the Study </w:t>
      </w:r>
    </w:p>
    <w:p w:rsidR="00505FCC" w:rsidRDefault="00505FCC" w:rsidP="00FD1AA2">
      <w:pPr>
        <w:spacing w:after="240" w:line="360" w:lineRule="auto"/>
        <w:jc w:val="both"/>
        <w:rPr>
          <w:rFonts w:ascii="Times New Roman" w:hAnsi="Times New Roman"/>
          <w:szCs w:val="28"/>
        </w:rPr>
      </w:pPr>
      <w:r>
        <w:rPr>
          <w:rFonts w:ascii="Times New Roman" w:hAnsi="Times New Roman"/>
          <w:szCs w:val="28"/>
        </w:rPr>
        <w:t>Banking system is volatile and sensitive sector of national economy which requires effective monitoring and efficient supervision. Smooth and effective regulation</w:t>
      </w:r>
      <w:r w:rsidR="00AD618E">
        <w:rPr>
          <w:rFonts w:ascii="Times New Roman" w:hAnsi="Times New Roman"/>
          <w:szCs w:val="28"/>
        </w:rPr>
        <w:t xml:space="preserve"> of banking activities</w:t>
      </w:r>
      <w:r w:rsidR="00A77BA6">
        <w:rPr>
          <w:rFonts w:ascii="Times New Roman" w:hAnsi="Times New Roman"/>
          <w:szCs w:val="28"/>
        </w:rPr>
        <w:t xml:space="preserve"> is necessary for </w:t>
      </w:r>
      <w:r w:rsidR="00D20DD3">
        <w:rPr>
          <w:rFonts w:ascii="Times New Roman" w:hAnsi="Times New Roman"/>
          <w:szCs w:val="28"/>
        </w:rPr>
        <w:t>sustainable economic growth of a country. The regulatory agency should always be watchful of banking activities carried out by government and non-government financial institution (Pandit, 2002:31).</w:t>
      </w:r>
    </w:p>
    <w:p w:rsidR="0094782D" w:rsidRDefault="0094782D" w:rsidP="00FD1AA2">
      <w:pPr>
        <w:spacing w:after="240" w:line="360" w:lineRule="auto"/>
        <w:jc w:val="both"/>
        <w:rPr>
          <w:rFonts w:ascii="Times New Roman" w:hAnsi="Times New Roman"/>
          <w:szCs w:val="28"/>
        </w:rPr>
      </w:pPr>
      <w:r>
        <w:rPr>
          <w:rFonts w:ascii="Times New Roman" w:hAnsi="Times New Roman"/>
          <w:szCs w:val="28"/>
        </w:rPr>
        <w:t xml:space="preserve">Financial institutions provide service as intermediaries of the debt and capital markets. They are responsible for </w:t>
      </w:r>
      <w:r w:rsidR="00EF066C">
        <w:rPr>
          <w:rFonts w:ascii="Times New Roman" w:hAnsi="Times New Roman"/>
          <w:szCs w:val="28"/>
        </w:rPr>
        <w:t xml:space="preserve">transferring funds from lenders to borrowers, in need of those funds. The presence of financial institutions makes easy the flow of money through the economy. For this, savings are combined to moderate the risk brought to provide funds for loans. Depository institutions provide loans to and accept deposits from, nonfinancial firms (and individuals), while nonfinancial firms provide deposits to, and obtain loans from, depository institutions (Sounders and Cornett, 2004: 315). </w:t>
      </w:r>
    </w:p>
    <w:p w:rsidR="008A2257" w:rsidRPr="00FD1AA2" w:rsidRDefault="006B3863" w:rsidP="00FD1AA2">
      <w:pPr>
        <w:spacing w:after="240" w:line="360" w:lineRule="auto"/>
        <w:jc w:val="both"/>
        <w:rPr>
          <w:rFonts w:ascii="Times New Roman" w:hAnsi="Times New Roman"/>
          <w:b/>
          <w:bCs/>
          <w:sz w:val="28"/>
          <w:szCs w:val="28"/>
        </w:rPr>
      </w:pPr>
      <w:r w:rsidRPr="00FD1AA2">
        <w:rPr>
          <w:rFonts w:ascii="Times New Roman" w:hAnsi="Times New Roman"/>
          <w:szCs w:val="28"/>
        </w:rPr>
        <w:t>Banks are such financial institutions which play a vital role to collect scattered insufficient saving and use them into predictive channels. “Most people like to save little money when they have a chance. They may save because they have no urgent need for the money later time. When they do need the money, they may not have saved enough many people who save money deposit it in some kind of bank. The borrowers pay interest (price for the use of the money) to the bank and the bank pays interest to the people, who have deposited their savings. The banks make a profit by charging more business of receiving, safeguarding and lending money.</w:t>
      </w:r>
    </w:p>
    <w:p w:rsidR="007A6BD6" w:rsidRPr="00FD1AA2" w:rsidRDefault="00AB51C1" w:rsidP="00FD1AA2">
      <w:pPr>
        <w:spacing w:after="240" w:line="360" w:lineRule="auto"/>
        <w:jc w:val="both"/>
        <w:rPr>
          <w:rFonts w:ascii="Times New Roman" w:hAnsi="Times New Roman"/>
          <w:b/>
          <w:bCs/>
          <w:sz w:val="28"/>
          <w:szCs w:val="28"/>
          <w:highlight w:val="yellow"/>
        </w:rPr>
      </w:pPr>
      <w:r w:rsidRPr="00AB51C1">
        <w:rPr>
          <w:rFonts w:ascii="Times New Roman" w:hAnsi="Times New Roman"/>
          <w:noProof/>
          <w:szCs w:val="28"/>
        </w:rPr>
        <w:pict>
          <v:shapetype id="_x0000_t202" coordsize="21600,21600" o:spt="202" path="m,l,21600r21600,l21600,xe">
            <v:stroke joinstyle="miter"/>
            <v:path gradientshapeok="t" o:connecttype="rect"/>
          </v:shapetype>
          <v:shape id="_x0000_s1039" type="#_x0000_t202" style="position:absolute;left:0;text-align:left;margin-left:179.15pt;margin-top:63.2pt;width:64.5pt;height:29pt;z-index:251657728" stroked="f">
            <v:textbox>
              <w:txbxContent>
                <w:p w:rsidR="008C0E1D" w:rsidRDefault="008C0E1D"/>
              </w:txbxContent>
            </v:textbox>
          </v:shape>
        </w:pict>
      </w:r>
      <w:r w:rsidR="006B3863" w:rsidRPr="00FD1AA2">
        <w:rPr>
          <w:rFonts w:ascii="Times New Roman" w:hAnsi="Times New Roman"/>
          <w:szCs w:val="28"/>
        </w:rPr>
        <w:t>Banks are suppliers of the finance for trade &amp; industry as well as other sector,</w:t>
      </w:r>
      <w:r w:rsidR="00E4085D">
        <w:rPr>
          <w:rFonts w:ascii="Times New Roman" w:hAnsi="Times New Roman"/>
          <w:szCs w:val="28"/>
        </w:rPr>
        <w:t xml:space="preserve"> </w:t>
      </w:r>
      <w:r w:rsidR="006B3863" w:rsidRPr="00FD1AA2">
        <w:rPr>
          <w:rFonts w:ascii="Times New Roman" w:hAnsi="Times New Roman"/>
          <w:szCs w:val="28"/>
        </w:rPr>
        <w:t xml:space="preserve">which plays the vital role for economic &amp; financial development of the country. They help in the formulation of capital by investing the saving in productive areas. Normally </w:t>
      </w:r>
      <w:r w:rsidR="006B3863" w:rsidRPr="00FD1AA2">
        <w:rPr>
          <w:rFonts w:ascii="Times New Roman" w:hAnsi="Times New Roman"/>
          <w:szCs w:val="28"/>
        </w:rPr>
        <w:lastRenderedPageBreak/>
        <w:t>Banking facility is av</w:t>
      </w:r>
      <w:r w:rsidR="00FD1AA2" w:rsidRPr="00FD1AA2">
        <w:rPr>
          <w:rFonts w:ascii="Times New Roman" w:hAnsi="Times New Roman"/>
          <w:szCs w:val="28"/>
        </w:rPr>
        <w:t>a</w:t>
      </w:r>
      <w:r w:rsidR="006B3863" w:rsidRPr="00FD1AA2">
        <w:rPr>
          <w:rFonts w:ascii="Times New Roman" w:hAnsi="Times New Roman"/>
          <w:szCs w:val="28"/>
        </w:rPr>
        <w:t xml:space="preserve">ilable in underdeveloped country (Like Nepal) is urban area. In almost of the countries </w:t>
      </w:r>
      <w:r w:rsidR="00FD1AA2" w:rsidRPr="00FD1AA2">
        <w:rPr>
          <w:rFonts w:ascii="Times New Roman" w:hAnsi="Times New Roman"/>
          <w:szCs w:val="28"/>
        </w:rPr>
        <w:t>b</w:t>
      </w:r>
      <w:r w:rsidR="006B3863" w:rsidRPr="00FD1AA2">
        <w:rPr>
          <w:rFonts w:ascii="Times New Roman" w:hAnsi="Times New Roman"/>
          <w:szCs w:val="28"/>
        </w:rPr>
        <w:t xml:space="preserve">anking </w:t>
      </w:r>
      <w:r w:rsidR="00907EA1" w:rsidRPr="00FD1AA2">
        <w:rPr>
          <w:rFonts w:ascii="Times New Roman" w:hAnsi="Times New Roman"/>
          <w:szCs w:val="28"/>
        </w:rPr>
        <w:t>facilities are concentrated</w:t>
      </w:r>
      <w:r w:rsidR="006B3863" w:rsidRPr="00FD1AA2">
        <w:rPr>
          <w:rFonts w:ascii="Times New Roman" w:hAnsi="Times New Roman"/>
          <w:szCs w:val="28"/>
        </w:rPr>
        <w:t xml:space="preserve"> in to urban &amp; semi urban area, they wanted stay far from rural area due to lower rate of return or higher risk. But in fact, without it,</w:t>
      </w:r>
      <w:r w:rsidR="00FD1AA2" w:rsidRPr="00FD1AA2">
        <w:rPr>
          <w:rFonts w:ascii="Times New Roman" w:hAnsi="Times New Roman"/>
          <w:szCs w:val="28"/>
        </w:rPr>
        <w:t xml:space="preserve"> </w:t>
      </w:r>
      <w:r w:rsidR="006B3863" w:rsidRPr="00FD1AA2">
        <w:rPr>
          <w:rFonts w:ascii="Times New Roman" w:hAnsi="Times New Roman"/>
          <w:szCs w:val="28"/>
        </w:rPr>
        <w:t>other sector of econ</w:t>
      </w:r>
      <w:r w:rsidR="004E4202">
        <w:rPr>
          <w:rFonts w:ascii="Times New Roman" w:hAnsi="Times New Roman"/>
          <w:szCs w:val="28"/>
        </w:rPr>
        <w:t>omy</w:t>
      </w:r>
      <w:r w:rsidR="00371788" w:rsidRPr="00FD1AA2">
        <w:rPr>
          <w:rFonts w:ascii="Times New Roman" w:hAnsi="Times New Roman"/>
          <w:szCs w:val="28"/>
        </w:rPr>
        <w:t>.</w:t>
      </w:r>
    </w:p>
    <w:p w:rsidR="00A07BF5" w:rsidRPr="002C2C0F" w:rsidRDefault="00A07BF5" w:rsidP="00FD1AA2">
      <w:pPr>
        <w:spacing w:after="240" w:line="360" w:lineRule="auto"/>
        <w:jc w:val="both"/>
        <w:rPr>
          <w:rFonts w:ascii="Times New Roman" w:hAnsi="Times New Roman"/>
          <w:sz w:val="36"/>
          <w:szCs w:val="36"/>
        </w:rPr>
      </w:pPr>
      <w:r w:rsidRPr="00FD1AA2">
        <w:rPr>
          <w:rFonts w:ascii="Times New Roman" w:hAnsi="Times New Roman"/>
          <w:shd w:val="clear" w:color="auto" w:fill="FFFFFF"/>
        </w:rPr>
        <w:t xml:space="preserve">Banks operate by borrowing funds-usually by accepting deposits or by borrowing in the money markets. Banks borrow from individuals, businesses, financial institutions, and governments with surplus funds (savings). They then use those deposits and borrowed funds (liabilities of the bank) to make loans or to purchase securities (assets of the bank). Banks make these loans to businesses, other financial institutions, individuals, and governments (that need the funds for investments or other purposes). Interest rates provide the price signals for borrowers, lenders, and </w:t>
      </w:r>
      <w:r w:rsidR="002C2C0F" w:rsidRPr="00FD1AA2">
        <w:rPr>
          <w:rFonts w:ascii="Times New Roman" w:hAnsi="Times New Roman"/>
          <w:shd w:val="clear" w:color="auto" w:fill="FFFFFF"/>
        </w:rPr>
        <w:t>bank</w:t>
      </w:r>
      <w:r w:rsidR="002C2C0F">
        <w:rPr>
          <w:rFonts w:ascii="Times New Roman" w:hAnsi="Times New Roman"/>
          <w:shd w:val="clear" w:color="auto" w:fill="FFFFFF"/>
        </w:rPr>
        <w:t>.</w:t>
      </w:r>
    </w:p>
    <w:p w:rsidR="006B3863" w:rsidRPr="006366D8" w:rsidRDefault="00FD1AA2" w:rsidP="00FD1AA2">
      <w:pPr>
        <w:spacing w:after="240" w:line="360" w:lineRule="auto"/>
        <w:jc w:val="both"/>
        <w:rPr>
          <w:rFonts w:ascii="Times New Roman" w:hAnsi="Times New Roman"/>
          <w:b/>
          <w:sz w:val="28"/>
          <w:szCs w:val="28"/>
        </w:rPr>
      </w:pPr>
      <w:r w:rsidRPr="006366D8">
        <w:rPr>
          <w:rFonts w:ascii="Times New Roman" w:hAnsi="Times New Roman"/>
          <w:b/>
          <w:sz w:val="28"/>
          <w:szCs w:val="28"/>
        </w:rPr>
        <w:t>Concept of C</w:t>
      </w:r>
      <w:r w:rsidR="006B3863" w:rsidRPr="006366D8">
        <w:rPr>
          <w:rFonts w:ascii="Times New Roman" w:hAnsi="Times New Roman"/>
          <w:b/>
          <w:sz w:val="28"/>
          <w:szCs w:val="28"/>
        </w:rPr>
        <w:t>ommercial Bank</w:t>
      </w:r>
    </w:p>
    <w:p w:rsidR="006B3863" w:rsidRPr="00FD1AA2" w:rsidRDefault="006B3863" w:rsidP="00FD1AA2">
      <w:pPr>
        <w:spacing w:after="240" w:line="360" w:lineRule="auto"/>
        <w:jc w:val="both"/>
        <w:rPr>
          <w:rFonts w:ascii="Times New Roman" w:hAnsi="Times New Roman"/>
          <w:szCs w:val="28"/>
        </w:rPr>
      </w:pPr>
      <w:r w:rsidRPr="00FD1AA2">
        <w:rPr>
          <w:rFonts w:ascii="Times New Roman" w:hAnsi="Times New Roman"/>
          <w:szCs w:val="28"/>
        </w:rPr>
        <w:t>Banking sector plays an important role in the economic development of the country. Commercials Banks are one of the vital aspects of this sector which deals in the process of the available resources in the needed sector. It is the intermediary between the deficit and surplus of financial resources. Commercial banks are the major component in the financial system. They work as the intermediary between depositors and lenders and facilitate in overall development of the economy, with major t</w:t>
      </w:r>
      <w:r w:rsidR="00ED5CA1">
        <w:rPr>
          <w:rFonts w:ascii="Times New Roman" w:hAnsi="Times New Roman"/>
          <w:szCs w:val="28"/>
        </w:rPr>
        <w:t>hrust in industrial development (Vaisn, 1993).</w:t>
      </w:r>
    </w:p>
    <w:p w:rsidR="006B3863" w:rsidRPr="00FD1AA2" w:rsidRDefault="006B3863" w:rsidP="00FD1AA2">
      <w:pPr>
        <w:spacing w:after="240" w:line="360" w:lineRule="auto"/>
        <w:jc w:val="both"/>
        <w:rPr>
          <w:rFonts w:ascii="Times New Roman" w:hAnsi="Times New Roman"/>
          <w:szCs w:val="28"/>
        </w:rPr>
      </w:pPr>
      <w:r w:rsidRPr="00FD1AA2">
        <w:rPr>
          <w:rFonts w:ascii="Times New Roman" w:hAnsi="Times New Roman"/>
          <w:szCs w:val="28"/>
        </w:rPr>
        <w:t>Commercial banks came into existence mainly with the objectives of collecting the idle funds, mobilizing them into productive sector and causing an overall economic development. The banks have the responsibility of safeguarding the interest of the depositors, the shareholders and the society they are serving. A sound banking system is important because of the key roles it plays in the economy, intermediation, and maturity transformation, facilitating payments flows, credit allocation and maintaining financial discipline among borrowers. Banks gathers savings, allocates resources providers the liquidity and payment services.</w:t>
      </w:r>
    </w:p>
    <w:p w:rsidR="004972E8" w:rsidRDefault="004972E8">
      <w:pPr>
        <w:spacing w:after="200" w:line="276" w:lineRule="auto"/>
        <w:rPr>
          <w:rFonts w:ascii="Times New Roman" w:hAnsi="Times New Roman"/>
          <w:b/>
          <w:sz w:val="28"/>
          <w:szCs w:val="28"/>
        </w:rPr>
      </w:pPr>
      <w:r>
        <w:rPr>
          <w:rFonts w:ascii="Times New Roman" w:hAnsi="Times New Roman"/>
          <w:b/>
          <w:sz w:val="28"/>
          <w:szCs w:val="28"/>
        </w:rPr>
        <w:br w:type="page"/>
      </w:r>
    </w:p>
    <w:p w:rsidR="00B26F70" w:rsidRPr="006366D8" w:rsidRDefault="00502E60" w:rsidP="00FD1AA2">
      <w:pPr>
        <w:spacing w:after="240" w:line="360" w:lineRule="auto"/>
        <w:jc w:val="both"/>
        <w:rPr>
          <w:rFonts w:ascii="Times New Roman" w:hAnsi="Times New Roman"/>
          <w:b/>
          <w:sz w:val="28"/>
          <w:szCs w:val="28"/>
        </w:rPr>
      </w:pPr>
      <w:r w:rsidRPr="006366D8">
        <w:rPr>
          <w:rFonts w:ascii="Times New Roman" w:hAnsi="Times New Roman"/>
          <w:b/>
          <w:sz w:val="28"/>
          <w:szCs w:val="28"/>
        </w:rPr>
        <w:lastRenderedPageBreak/>
        <w:t>Profile of the Bank</w:t>
      </w:r>
    </w:p>
    <w:p w:rsidR="00502E60" w:rsidRPr="00FD1AA2" w:rsidRDefault="00502E60" w:rsidP="00FD1AA2">
      <w:pPr>
        <w:spacing w:after="240" w:line="360" w:lineRule="auto"/>
        <w:jc w:val="both"/>
        <w:rPr>
          <w:rFonts w:ascii="Times New Roman" w:hAnsi="Times New Roman"/>
          <w:szCs w:val="28"/>
        </w:rPr>
      </w:pPr>
      <w:r w:rsidRPr="00FD1AA2">
        <w:rPr>
          <w:rFonts w:ascii="Times New Roman" w:hAnsi="Times New Roman"/>
          <w:b/>
          <w:szCs w:val="28"/>
        </w:rPr>
        <w:t xml:space="preserve">A)  </w:t>
      </w:r>
      <w:r w:rsidRPr="00FD1AA2">
        <w:rPr>
          <w:rFonts w:ascii="Times New Roman" w:hAnsi="Times New Roman"/>
          <w:szCs w:val="28"/>
        </w:rPr>
        <w:t>Machhapuchhre Bank Ltd is the first commercial bank to initial ban</w:t>
      </w:r>
      <w:r w:rsidR="0071544E" w:rsidRPr="00FD1AA2">
        <w:rPr>
          <w:rFonts w:ascii="Times New Roman" w:hAnsi="Times New Roman"/>
          <w:szCs w:val="28"/>
        </w:rPr>
        <w:t>k</w:t>
      </w:r>
      <w:r w:rsidRPr="00FD1AA2">
        <w:rPr>
          <w:rFonts w:ascii="Times New Roman" w:hAnsi="Times New Roman"/>
          <w:szCs w:val="28"/>
        </w:rPr>
        <w:t>ing services from the western region of the country. It started its banking services from October 2000 in its own land.</w:t>
      </w:r>
      <w:r w:rsidR="00FD1AA2" w:rsidRPr="00FD1AA2">
        <w:rPr>
          <w:rFonts w:ascii="Times New Roman" w:hAnsi="Times New Roman"/>
          <w:szCs w:val="28"/>
        </w:rPr>
        <w:t xml:space="preserve"> </w:t>
      </w:r>
      <w:r w:rsidRPr="00FD1AA2">
        <w:rPr>
          <w:rFonts w:ascii="Times New Roman" w:hAnsi="Times New Roman"/>
          <w:szCs w:val="28"/>
        </w:rPr>
        <w:t>The Bank started full fledges banking operation in Kathmandu from October 2004.It has many branches in Kathmandu,</w:t>
      </w:r>
      <w:r w:rsidR="0071544E" w:rsidRPr="00FD1AA2">
        <w:rPr>
          <w:rFonts w:ascii="Times New Roman" w:hAnsi="Times New Roman"/>
          <w:szCs w:val="28"/>
        </w:rPr>
        <w:t xml:space="preserve"> </w:t>
      </w:r>
      <w:r w:rsidRPr="00FD1AA2">
        <w:rPr>
          <w:rFonts w:ascii="Times New Roman" w:hAnsi="Times New Roman"/>
          <w:szCs w:val="28"/>
        </w:rPr>
        <w:t>Pokhara and other regi</w:t>
      </w:r>
      <w:r w:rsidR="0071544E" w:rsidRPr="00FD1AA2">
        <w:rPr>
          <w:rFonts w:ascii="Times New Roman" w:hAnsi="Times New Roman"/>
          <w:szCs w:val="28"/>
        </w:rPr>
        <w:t>o</w:t>
      </w:r>
      <w:r w:rsidRPr="00FD1AA2">
        <w:rPr>
          <w:rFonts w:ascii="Times New Roman" w:hAnsi="Times New Roman"/>
          <w:szCs w:val="28"/>
        </w:rPr>
        <w:t>n</w:t>
      </w:r>
      <w:r w:rsidR="0071544E" w:rsidRPr="00FD1AA2">
        <w:rPr>
          <w:rFonts w:ascii="Times New Roman" w:hAnsi="Times New Roman"/>
          <w:szCs w:val="28"/>
        </w:rPr>
        <w:t xml:space="preserve"> of the country</w:t>
      </w:r>
      <w:r w:rsidRPr="00FD1AA2">
        <w:rPr>
          <w:rFonts w:ascii="Times New Roman" w:hAnsi="Times New Roman"/>
          <w:szCs w:val="28"/>
        </w:rPr>
        <w:t>.</w:t>
      </w:r>
      <w:r w:rsidR="0071544E" w:rsidRPr="00FD1AA2">
        <w:rPr>
          <w:rFonts w:ascii="Times New Roman" w:hAnsi="Times New Roman"/>
          <w:szCs w:val="28"/>
        </w:rPr>
        <w:t xml:space="preserve"> </w:t>
      </w:r>
      <w:r w:rsidRPr="00FD1AA2">
        <w:rPr>
          <w:rFonts w:ascii="Times New Roman" w:hAnsi="Times New Roman"/>
          <w:szCs w:val="28"/>
        </w:rPr>
        <w:t>It has the most sophisticated “Globus Banking software” enabling it to provide modern banking facilities like telemark</w:t>
      </w:r>
      <w:r w:rsidR="00A766D5" w:rsidRPr="00FD1AA2">
        <w:rPr>
          <w:rFonts w:ascii="Times New Roman" w:hAnsi="Times New Roman"/>
          <w:szCs w:val="28"/>
        </w:rPr>
        <w:t>eting, online marketing, point of sales,</w:t>
      </w:r>
      <w:r w:rsidR="0071544E" w:rsidRPr="00FD1AA2">
        <w:rPr>
          <w:rFonts w:ascii="Times New Roman" w:hAnsi="Times New Roman"/>
          <w:szCs w:val="28"/>
        </w:rPr>
        <w:t xml:space="preserve"> </w:t>
      </w:r>
      <w:r w:rsidR="00A766D5" w:rsidRPr="00FD1AA2">
        <w:rPr>
          <w:rFonts w:ascii="Times New Roman" w:hAnsi="Times New Roman"/>
          <w:szCs w:val="28"/>
        </w:rPr>
        <w:t>AT</w:t>
      </w:r>
      <w:r w:rsidR="0071544E" w:rsidRPr="00FD1AA2">
        <w:rPr>
          <w:rFonts w:ascii="Times New Roman" w:hAnsi="Times New Roman"/>
          <w:szCs w:val="28"/>
        </w:rPr>
        <w:t xml:space="preserve"> </w:t>
      </w:r>
      <w:r w:rsidR="00A766D5" w:rsidRPr="00FD1AA2">
        <w:rPr>
          <w:rFonts w:ascii="Times New Roman" w:hAnsi="Times New Roman"/>
          <w:szCs w:val="28"/>
        </w:rPr>
        <w:t>facilit</w:t>
      </w:r>
      <w:r w:rsidR="0071544E" w:rsidRPr="00FD1AA2">
        <w:rPr>
          <w:rFonts w:ascii="Times New Roman" w:hAnsi="Times New Roman"/>
          <w:szCs w:val="28"/>
        </w:rPr>
        <w:t>i</w:t>
      </w:r>
      <w:r w:rsidR="00A766D5" w:rsidRPr="00FD1AA2">
        <w:rPr>
          <w:rFonts w:ascii="Times New Roman" w:hAnsi="Times New Roman"/>
          <w:szCs w:val="28"/>
        </w:rPr>
        <w:t>es,</w:t>
      </w:r>
      <w:r w:rsidR="0071544E" w:rsidRPr="00FD1AA2">
        <w:rPr>
          <w:rFonts w:ascii="Times New Roman" w:hAnsi="Times New Roman"/>
          <w:szCs w:val="28"/>
        </w:rPr>
        <w:t xml:space="preserve"> </w:t>
      </w:r>
      <w:r w:rsidR="00A766D5" w:rsidRPr="00FD1AA2">
        <w:rPr>
          <w:rFonts w:ascii="Times New Roman" w:hAnsi="Times New Roman"/>
          <w:szCs w:val="28"/>
        </w:rPr>
        <w:t>SWIFT facilities, 365 /evening counter service, NTC bill payment,</w:t>
      </w:r>
      <w:r w:rsidR="0071544E" w:rsidRPr="00FD1AA2">
        <w:rPr>
          <w:rFonts w:ascii="Times New Roman" w:hAnsi="Times New Roman"/>
          <w:szCs w:val="28"/>
        </w:rPr>
        <w:t xml:space="preserve"> </w:t>
      </w:r>
      <w:r w:rsidR="00A766D5" w:rsidRPr="00FD1AA2">
        <w:rPr>
          <w:rFonts w:ascii="Times New Roman" w:hAnsi="Times New Roman"/>
          <w:szCs w:val="28"/>
        </w:rPr>
        <w:t>mobil</w:t>
      </w:r>
      <w:r w:rsidR="0071544E" w:rsidRPr="00FD1AA2">
        <w:rPr>
          <w:rFonts w:ascii="Times New Roman" w:hAnsi="Times New Roman"/>
          <w:szCs w:val="28"/>
        </w:rPr>
        <w:t xml:space="preserve">e bill </w:t>
      </w:r>
      <w:r w:rsidR="00A766D5" w:rsidRPr="00FD1AA2">
        <w:rPr>
          <w:rFonts w:ascii="Times New Roman" w:hAnsi="Times New Roman"/>
          <w:szCs w:val="28"/>
        </w:rPr>
        <w:t>payment,</w:t>
      </w:r>
      <w:r w:rsidR="0071544E" w:rsidRPr="00FD1AA2">
        <w:rPr>
          <w:rFonts w:ascii="Times New Roman" w:hAnsi="Times New Roman"/>
          <w:szCs w:val="28"/>
        </w:rPr>
        <w:t xml:space="preserve"> </w:t>
      </w:r>
      <w:r w:rsidR="00A766D5" w:rsidRPr="00FD1AA2">
        <w:rPr>
          <w:rFonts w:ascii="Times New Roman" w:hAnsi="Times New Roman"/>
          <w:szCs w:val="28"/>
        </w:rPr>
        <w:t>locker facility,</w:t>
      </w:r>
      <w:r w:rsidR="0071544E" w:rsidRPr="00FD1AA2">
        <w:rPr>
          <w:rFonts w:ascii="Times New Roman" w:hAnsi="Times New Roman"/>
          <w:szCs w:val="28"/>
        </w:rPr>
        <w:t xml:space="preserve"> </w:t>
      </w:r>
      <w:r w:rsidR="00A766D5" w:rsidRPr="00FD1AA2">
        <w:rPr>
          <w:rFonts w:ascii="Times New Roman" w:hAnsi="Times New Roman"/>
          <w:szCs w:val="28"/>
        </w:rPr>
        <w:t>remittance services and many more</w:t>
      </w:r>
      <w:r w:rsidR="00FD1AA2" w:rsidRPr="00FD1AA2">
        <w:rPr>
          <w:rFonts w:ascii="Times New Roman" w:hAnsi="Times New Roman"/>
          <w:szCs w:val="28"/>
        </w:rPr>
        <w:t xml:space="preserve"> </w:t>
      </w:r>
      <w:r w:rsidR="00A766D5" w:rsidRPr="00B538F8">
        <w:rPr>
          <w:rFonts w:ascii="Times New Roman" w:hAnsi="Times New Roman"/>
          <w:szCs w:val="28"/>
        </w:rPr>
        <w:t>(</w:t>
      </w:r>
      <w:hyperlink r:id="rId8" w:history="1">
        <w:r w:rsidR="00B538F8" w:rsidRPr="00B538F8">
          <w:rPr>
            <w:rStyle w:val="Hyperlink"/>
            <w:rFonts w:ascii="Times New Roman" w:hAnsi="Times New Roman"/>
            <w:color w:val="auto"/>
            <w:szCs w:val="28"/>
            <w:u w:val="none"/>
          </w:rPr>
          <w:t>www.machbank.com.np/tenth</w:t>
        </w:r>
      </w:hyperlink>
      <w:r w:rsidR="00A766D5" w:rsidRPr="00FD1AA2">
        <w:rPr>
          <w:rFonts w:ascii="Times New Roman" w:hAnsi="Times New Roman"/>
          <w:szCs w:val="28"/>
        </w:rPr>
        <w:t xml:space="preserve"> AGM/2064/065)</w:t>
      </w:r>
      <w:r w:rsidR="008B395E">
        <w:rPr>
          <w:rFonts w:ascii="Times New Roman" w:hAnsi="Times New Roman"/>
          <w:szCs w:val="28"/>
        </w:rPr>
        <w:t>.</w:t>
      </w:r>
      <w:r w:rsidR="00A766D5" w:rsidRPr="00FD1AA2">
        <w:rPr>
          <w:rFonts w:ascii="Times New Roman" w:hAnsi="Times New Roman"/>
          <w:szCs w:val="28"/>
        </w:rPr>
        <w:t xml:space="preserve"> </w:t>
      </w:r>
    </w:p>
    <w:p w:rsidR="001F4C19" w:rsidRPr="006366D8" w:rsidRDefault="001B7E9B" w:rsidP="00FD1AA2">
      <w:pPr>
        <w:spacing w:after="240" w:line="360" w:lineRule="auto"/>
        <w:jc w:val="both"/>
        <w:rPr>
          <w:rFonts w:ascii="Times New Roman" w:hAnsi="Times New Roman"/>
          <w:b/>
          <w:sz w:val="28"/>
        </w:rPr>
      </w:pPr>
      <w:r w:rsidRPr="006366D8">
        <w:rPr>
          <w:rFonts w:ascii="Times New Roman" w:hAnsi="Times New Roman"/>
          <w:b/>
          <w:sz w:val="28"/>
        </w:rPr>
        <w:t>1</w:t>
      </w:r>
      <w:r w:rsidR="001F4C19" w:rsidRPr="006366D8">
        <w:rPr>
          <w:rFonts w:ascii="Times New Roman" w:hAnsi="Times New Roman"/>
          <w:b/>
          <w:sz w:val="28"/>
        </w:rPr>
        <w:t>.</w:t>
      </w:r>
      <w:r w:rsidRPr="006366D8">
        <w:rPr>
          <w:rFonts w:ascii="Times New Roman" w:hAnsi="Times New Roman"/>
          <w:b/>
          <w:sz w:val="28"/>
        </w:rPr>
        <w:t>2</w:t>
      </w:r>
      <w:r w:rsidR="001F4C19" w:rsidRPr="006366D8">
        <w:rPr>
          <w:rFonts w:ascii="Times New Roman" w:hAnsi="Times New Roman"/>
          <w:b/>
          <w:sz w:val="28"/>
        </w:rPr>
        <w:t xml:space="preserve"> </w:t>
      </w:r>
      <w:r w:rsidR="008A2257" w:rsidRPr="006366D8">
        <w:rPr>
          <w:rFonts w:ascii="Times New Roman" w:hAnsi="Times New Roman"/>
          <w:b/>
          <w:sz w:val="28"/>
        </w:rPr>
        <w:tab/>
      </w:r>
      <w:r w:rsidR="001F4C19" w:rsidRPr="006366D8">
        <w:rPr>
          <w:rFonts w:ascii="Times New Roman" w:hAnsi="Times New Roman"/>
          <w:b/>
          <w:sz w:val="28"/>
        </w:rPr>
        <w:t>Focus of the Study</w:t>
      </w:r>
    </w:p>
    <w:p w:rsidR="001F4C19" w:rsidRPr="00FD1AA2" w:rsidRDefault="001D4DAD" w:rsidP="00FD1AA2">
      <w:pPr>
        <w:spacing w:after="240" w:line="360" w:lineRule="auto"/>
        <w:jc w:val="both"/>
        <w:rPr>
          <w:rFonts w:ascii="Times New Roman" w:hAnsi="Times New Roman"/>
          <w:szCs w:val="28"/>
        </w:rPr>
      </w:pPr>
      <w:r w:rsidRPr="00FD1AA2">
        <w:rPr>
          <w:rFonts w:ascii="Times New Roman" w:hAnsi="Times New Roman"/>
          <w:szCs w:val="28"/>
        </w:rPr>
        <w:t xml:space="preserve">Here the focus is to </w:t>
      </w:r>
      <w:r w:rsidR="008A2257" w:rsidRPr="00FD1AA2">
        <w:rPr>
          <w:rFonts w:ascii="Times New Roman" w:hAnsi="Times New Roman"/>
          <w:szCs w:val="28"/>
        </w:rPr>
        <w:t>analysis the</w:t>
      </w:r>
      <w:r w:rsidR="00944CE2" w:rsidRPr="00FD1AA2">
        <w:rPr>
          <w:rFonts w:ascii="Times New Roman" w:hAnsi="Times New Roman"/>
          <w:szCs w:val="28"/>
        </w:rPr>
        <w:t xml:space="preserve"> </w:t>
      </w:r>
      <w:r w:rsidR="008A2257" w:rsidRPr="00FD1AA2">
        <w:rPr>
          <w:rFonts w:ascii="Times New Roman" w:hAnsi="Times New Roman"/>
          <w:szCs w:val="28"/>
        </w:rPr>
        <w:t>CAMEL study</w:t>
      </w:r>
      <w:r w:rsidR="00560F34" w:rsidRPr="00FD1AA2">
        <w:rPr>
          <w:rFonts w:ascii="Times New Roman" w:hAnsi="Times New Roman"/>
          <w:szCs w:val="28"/>
        </w:rPr>
        <w:t xml:space="preserve"> on fin</w:t>
      </w:r>
      <w:r w:rsidR="00944CE2" w:rsidRPr="00FD1AA2">
        <w:rPr>
          <w:rFonts w:ascii="Times New Roman" w:hAnsi="Times New Roman"/>
          <w:szCs w:val="28"/>
        </w:rPr>
        <w:t>ancial performance of Machhapuchhre Bank Limited</w:t>
      </w:r>
      <w:r w:rsidR="001F4C19" w:rsidRPr="00FD1AA2">
        <w:rPr>
          <w:rFonts w:ascii="Times New Roman" w:hAnsi="Times New Roman"/>
          <w:szCs w:val="28"/>
        </w:rPr>
        <w:t>.</w:t>
      </w:r>
      <w:r w:rsidR="00EF2B15" w:rsidRPr="00FD1AA2">
        <w:rPr>
          <w:rFonts w:ascii="Times New Roman" w:hAnsi="Times New Roman"/>
          <w:szCs w:val="28"/>
        </w:rPr>
        <w:t xml:space="preserve"> </w:t>
      </w:r>
      <w:r w:rsidR="00560F34" w:rsidRPr="00FD1AA2">
        <w:rPr>
          <w:rFonts w:ascii="Times New Roman" w:hAnsi="Times New Roman"/>
          <w:szCs w:val="28"/>
        </w:rPr>
        <w:t>Financial</w:t>
      </w:r>
      <w:r w:rsidR="0071544E" w:rsidRPr="00FD1AA2">
        <w:rPr>
          <w:rFonts w:ascii="Times New Roman" w:hAnsi="Times New Roman"/>
          <w:szCs w:val="28"/>
        </w:rPr>
        <w:t xml:space="preserve"> </w:t>
      </w:r>
      <w:r w:rsidR="00A55B8A">
        <w:rPr>
          <w:rFonts w:ascii="Times New Roman" w:hAnsi="Times New Roman"/>
          <w:szCs w:val="28"/>
        </w:rPr>
        <w:t>p</w:t>
      </w:r>
      <w:r w:rsidR="00560F34" w:rsidRPr="00FD1AA2">
        <w:rPr>
          <w:rFonts w:ascii="Times New Roman" w:hAnsi="Times New Roman"/>
          <w:szCs w:val="28"/>
        </w:rPr>
        <w:t>erformance analysis is the process of spotting out the strength and weakness of the firm by associating relation between item of the Balance sheet and profit and Loss account</w:t>
      </w:r>
      <w:r w:rsidRPr="00FD1AA2">
        <w:rPr>
          <w:rFonts w:ascii="Times New Roman" w:hAnsi="Times New Roman"/>
          <w:szCs w:val="28"/>
        </w:rPr>
        <w:t>.</w:t>
      </w:r>
      <w:r w:rsidR="0071544E" w:rsidRPr="00FD1AA2">
        <w:rPr>
          <w:rFonts w:ascii="Times New Roman" w:hAnsi="Times New Roman"/>
          <w:szCs w:val="28"/>
        </w:rPr>
        <w:t xml:space="preserve"> </w:t>
      </w:r>
      <w:r w:rsidR="00EF2B15" w:rsidRPr="00FD1AA2">
        <w:rPr>
          <w:rFonts w:ascii="Times New Roman" w:hAnsi="Times New Roman"/>
          <w:szCs w:val="28"/>
        </w:rPr>
        <w:t>The banking sector plays vital role in the overall deployment of an economy.</w:t>
      </w:r>
      <w:r w:rsidR="0071544E" w:rsidRPr="00FD1AA2">
        <w:rPr>
          <w:rFonts w:ascii="Times New Roman" w:hAnsi="Times New Roman"/>
          <w:szCs w:val="28"/>
        </w:rPr>
        <w:t xml:space="preserve"> </w:t>
      </w:r>
      <w:r w:rsidR="00EF2B15" w:rsidRPr="00FD1AA2">
        <w:rPr>
          <w:rFonts w:ascii="Times New Roman" w:hAnsi="Times New Roman"/>
          <w:szCs w:val="28"/>
        </w:rPr>
        <w:t>The economic reforms has many more impact in Nepalese banking sector and this sector has been going through major changes as a consequence of shift in banking needs among the customers,</w:t>
      </w:r>
      <w:r w:rsidR="0071544E" w:rsidRPr="00FD1AA2">
        <w:rPr>
          <w:rFonts w:ascii="Times New Roman" w:hAnsi="Times New Roman"/>
          <w:szCs w:val="28"/>
        </w:rPr>
        <w:t xml:space="preserve"> </w:t>
      </w:r>
      <w:r w:rsidR="00EF2B15" w:rsidRPr="00FD1AA2">
        <w:rPr>
          <w:rFonts w:ascii="Times New Roman" w:hAnsi="Times New Roman"/>
          <w:szCs w:val="28"/>
        </w:rPr>
        <w:t>change in regulatory f</w:t>
      </w:r>
      <w:r w:rsidR="0071544E" w:rsidRPr="00FD1AA2">
        <w:rPr>
          <w:rFonts w:ascii="Times New Roman" w:hAnsi="Times New Roman"/>
          <w:szCs w:val="28"/>
        </w:rPr>
        <w:t>r</w:t>
      </w:r>
      <w:r w:rsidR="00EF2B15" w:rsidRPr="00FD1AA2">
        <w:rPr>
          <w:rFonts w:ascii="Times New Roman" w:hAnsi="Times New Roman"/>
          <w:szCs w:val="28"/>
        </w:rPr>
        <w:t>amework,</w:t>
      </w:r>
      <w:r w:rsidR="0071544E" w:rsidRPr="00FD1AA2">
        <w:rPr>
          <w:rFonts w:ascii="Times New Roman" w:hAnsi="Times New Roman"/>
          <w:szCs w:val="28"/>
        </w:rPr>
        <w:t xml:space="preserve"> </w:t>
      </w:r>
      <w:r w:rsidR="00EF2B15" w:rsidRPr="00FD1AA2">
        <w:rPr>
          <w:rFonts w:ascii="Times New Roman" w:hAnsi="Times New Roman"/>
          <w:szCs w:val="28"/>
        </w:rPr>
        <w:t>alteration in ownership pattern and liberalization of interest and exchange rates.</w:t>
      </w:r>
      <w:r w:rsidR="0071544E" w:rsidRPr="00FD1AA2">
        <w:rPr>
          <w:rFonts w:ascii="Times New Roman" w:hAnsi="Times New Roman"/>
          <w:szCs w:val="28"/>
        </w:rPr>
        <w:t xml:space="preserve"> </w:t>
      </w:r>
      <w:r w:rsidR="00EF2B15" w:rsidRPr="00FD1AA2">
        <w:rPr>
          <w:rFonts w:ascii="Times New Roman" w:hAnsi="Times New Roman"/>
          <w:szCs w:val="28"/>
        </w:rPr>
        <w:t>While these changes have positively affected the banking sector,</w:t>
      </w:r>
      <w:r w:rsidR="0071544E" w:rsidRPr="00FD1AA2">
        <w:rPr>
          <w:rFonts w:ascii="Times New Roman" w:hAnsi="Times New Roman"/>
          <w:szCs w:val="28"/>
        </w:rPr>
        <w:t xml:space="preserve"> </w:t>
      </w:r>
      <w:r w:rsidR="00EF2B15" w:rsidRPr="00FD1AA2">
        <w:rPr>
          <w:rFonts w:ascii="Times New Roman" w:hAnsi="Times New Roman"/>
          <w:szCs w:val="28"/>
        </w:rPr>
        <w:t xml:space="preserve">at the same time, increased competition due to mushrooming of financial institutions has impacted the banks negatively. </w:t>
      </w:r>
      <w:r w:rsidR="006312B9" w:rsidRPr="00FD1AA2">
        <w:rPr>
          <w:rFonts w:ascii="Times New Roman" w:hAnsi="Times New Roman"/>
          <w:szCs w:val="28"/>
        </w:rPr>
        <w:t>This study will be base on secondary data provide by the particular concerned finance.</w:t>
      </w:r>
      <w:r w:rsidR="00EF2B15" w:rsidRPr="00FD1AA2">
        <w:rPr>
          <w:rFonts w:ascii="Times New Roman" w:hAnsi="Times New Roman"/>
          <w:szCs w:val="28"/>
        </w:rPr>
        <w:t xml:space="preserve">  </w:t>
      </w:r>
      <w:r w:rsidRPr="00FD1AA2">
        <w:rPr>
          <w:rFonts w:ascii="Times New Roman" w:hAnsi="Times New Roman"/>
          <w:szCs w:val="28"/>
        </w:rPr>
        <w:t xml:space="preserve">The study focus on the trend of capital adequacy ratio with comparing NRB </w:t>
      </w:r>
      <w:r w:rsidR="008A2257" w:rsidRPr="00FD1AA2">
        <w:rPr>
          <w:rFonts w:ascii="Times New Roman" w:hAnsi="Times New Roman"/>
          <w:szCs w:val="28"/>
        </w:rPr>
        <w:t xml:space="preserve">standard, </w:t>
      </w:r>
      <w:r w:rsidR="0014488E" w:rsidRPr="00FD1AA2">
        <w:rPr>
          <w:rFonts w:ascii="Times New Roman" w:hAnsi="Times New Roman"/>
          <w:szCs w:val="28"/>
        </w:rPr>
        <w:t xml:space="preserve">non-performing loan </w:t>
      </w:r>
      <w:r w:rsidR="008A2257" w:rsidRPr="00FD1AA2">
        <w:rPr>
          <w:rFonts w:ascii="Times New Roman" w:hAnsi="Times New Roman"/>
          <w:szCs w:val="28"/>
        </w:rPr>
        <w:t xml:space="preserve">ratio, </w:t>
      </w:r>
      <w:r w:rsidRPr="00FD1AA2">
        <w:rPr>
          <w:rFonts w:ascii="Times New Roman" w:hAnsi="Times New Roman"/>
          <w:szCs w:val="28"/>
        </w:rPr>
        <w:t>trend of loan loss</w:t>
      </w:r>
      <w:r w:rsidR="0014488E" w:rsidRPr="00FD1AA2">
        <w:rPr>
          <w:rFonts w:ascii="Times New Roman" w:hAnsi="Times New Roman"/>
          <w:szCs w:val="28"/>
        </w:rPr>
        <w:t xml:space="preserve"> Coverage</w:t>
      </w:r>
      <w:r w:rsidRPr="00FD1AA2">
        <w:rPr>
          <w:rFonts w:ascii="Times New Roman" w:hAnsi="Times New Roman"/>
          <w:szCs w:val="28"/>
        </w:rPr>
        <w:t xml:space="preserve"> ratio and trend of total expense to total revenu</w:t>
      </w:r>
      <w:r w:rsidR="0071544E" w:rsidRPr="00FD1AA2">
        <w:rPr>
          <w:rFonts w:ascii="Times New Roman" w:hAnsi="Times New Roman"/>
          <w:szCs w:val="28"/>
        </w:rPr>
        <w:t>e</w:t>
      </w:r>
      <w:r w:rsidR="0095036B" w:rsidRPr="00FD1AA2">
        <w:rPr>
          <w:rFonts w:ascii="Times New Roman" w:hAnsi="Times New Roman"/>
          <w:szCs w:val="28"/>
        </w:rPr>
        <w:t>s ratio,</w:t>
      </w:r>
      <w:r w:rsidR="00EF2B15" w:rsidRPr="00FD1AA2">
        <w:rPr>
          <w:rFonts w:ascii="Times New Roman" w:hAnsi="Times New Roman"/>
          <w:szCs w:val="28"/>
        </w:rPr>
        <w:t xml:space="preserve"> </w:t>
      </w:r>
      <w:r w:rsidR="0095036B" w:rsidRPr="00FD1AA2">
        <w:rPr>
          <w:rFonts w:ascii="Times New Roman" w:hAnsi="Times New Roman"/>
          <w:szCs w:val="28"/>
        </w:rPr>
        <w:t>trend of ear</w:t>
      </w:r>
      <w:r w:rsidR="00EF2B15" w:rsidRPr="00FD1AA2">
        <w:rPr>
          <w:rFonts w:ascii="Times New Roman" w:hAnsi="Times New Roman"/>
          <w:szCs w:val="28"/>
        </w:rPr>
        <w:t>ning per employee</w:t>
      </w:r>
      <w:r w:rsidR="0095036B" w:rsidRPr="00FD1AA2">
        <w:rPr>
          <w:rFonts w:ascii="Times New Roman" w:hAnsi="Times New Roman"/>
          <w:szCs w:val="28"/>
        </w:rPr>
        <w:t>,</w:t>
      </w:r>
      <w:r w:rsidR="0014488E" w:rsidRPr="00FD1AA2">
        <w:rPr>
          <w:rFonts w:ascii="Times New Roman" w:hAnsi="Times New Roman"/>
          <w:szCs w:val="28"/>
        </w:rPr>
        <w:t xml:space="preserve"> trend of earning per share,</w:t>
      </w:r>
      <w:r w:rsidR="001F38D3">
        <w:rPr>
          <w:rFonts w:ascii="Times New Roman" w:hAnsi="Times New Roman"/>
          <w:szCs w:val="28"/>
        </w:rPr>
        <w:t xml:space="preserve"> </w:t>
      </w:r>
      <w:r w:rsidR="0014488E" w:rsidRPr="00FD1AA2">
        <w:rPr>
          <w:rFonts w:ascii="Times New Roman" w:hAnsi="Times New Roman"/>
          <w:szCs w:val="28"/>
        </w:rPr>
        <w:t>trend of Return on equity,</w:t>
      </w:r>
      <w:r w:rsidR="00EF2B15" w:rsidRPr="00FD1AA2">
        <w:rPr>
          <w:rFonts w:ascii="Times New Roman" w:hAnsi="Times New Roman"/>
          <w:szCs w:val="28"/>
        </w:rPr>
        <w:t xml:space="preserve"> </w:t>
      </w:r>
      <w:r w:rsidR="0014488E" w:rsidRPr="00FD1AA2">
        <w:rPr>
          <w:rFonts w:ascii="Times New Roman" w:hAnsi="Times New Roman"/>
          <w:szCs w:val="28"/>
        </w:rPr>
        <w:t>trend of Return on Assets,</w:t>
      </w:r>
      <w:r w:rsidR="00EF2B15" w:rsidRPr="00FD1AA2">
        <w:rPr>
          <w:rFonts w:ascii="Times New Roman" w:hAnsi="Times New Roman"/>
          <w:szCs w:val="28"/>
        </w:rPr>
        <w:t xml:space="preserve"> </w:t>
      </w:r>
      <w:r w:rsidR="0095036B" w:rsidRPr="00FD1AA2">
        <w:rPr>
          <w:rFonts w:ascii="Times New Roman" w:hAnsi="Times New Roman"/>
          <w:szCs w:val="28"/>
        </w:rPr>
        <w:t>trend of  NRB</w:t>
      </w:r>
      <w:r w:rsidR="0014488E" w:rsidRPr="00FD1AA2">
        <w:rPr>
          <w:rFonts w:ascii="Times New Roman" w:hAnsi="Times New Roman"/>
          <w:szCs w:val="28"/>
        </w:rPr>
        <w:t xml:space="preserve"> balance to total deposit ratio,</w:t>
      </w:r>
      <w:r w:rsidR="00EF2B15" w:rsidRPr="00FD1AA2">
        <w:rPr>
          <w:rFonts w:ascii="Times New Roman" w:hAnsi="Times New Roman"/>
          <w:szCs w:val="28"/>
        </w:rPr>
        <w:t xml:space="preserve"> trend of </w:t>
      </w:r>
      <w:r w:rsidR="0014488E" w:rsidRPr="00FD1AA2">
        <w:rPr>
          <w:rFonts w:ascii="Times New Roman" w:hAnsi="Times New Roman"/>
          <w:szCs w:val="28"/>
        </w:rPr>
        <w:t>Cash and bank balance Ratio,</w:t>
      </w:r>
      <w:r w:rsidR="00EF2B15" w:rsidRPr="00FD1AA2">
        <w:rPr>
          <w:rFonts w:ascii="Times New Roman" w:hAnsi="Times New Roman"/>
          <w:szCs w:val="28"/>
        </w:rPr>
        <w:t xml:space="preserve"> </w:t>
      </w:r>
      <w:r w:rsidR="0014488E" w:rsidRPr="00FD1AA2">
        <w:rPr>
          <w:rFonts w:ascii="Times New Roman" w:hAnsi="Times New Roman"/>
          <w:szCs w:val="28"/>
        </w:rPr>
        <w:t>trend of Investment in Government security Ratio</w:t>
      </w:r>
      <w:r w:rsidR="00EF2B15" w:rsidRPr="00FD1AA2">
        <w:rPr>
          <w:rFonts w:ascii="Times New Roman" w:hAnsi="Times New Roman"/>
          <w:szCs w:val="28"/>
        </w:rPr>
        <w:t>.</w:t>
      </w:r>
      <w:r w:rsidR="00560F34" w:rsidRPr="00FD1AA2">
        <w:rPr>
          <w:rFonts w:ascii="Times New Roman" w:hAnsi="Times New Roman"/>
          <w:szCs w:val="28"/>
        </w:rPr>
        <w:t xml:space="preserve"> </w:t>
      </w:r>
      <w:r w:rsidR="000948BA" w:rsidRPr="00FD1AA2">
        <w:rPr>
          <w:rFonts w:ascii="Times New Roman" w:hAnsi="Times New Roman"/>
          <w:szCs w:val="28"/>
        </w:rPr>
        <w:t>The study aims to find out the position of the bank and its viability by using descriptive and analytical research design.</w:t>
      </w:r>
    </w:p>
    <w:p w:rsidR="004C1480" w:rsidRPr="006366D8" w:rsidRDefault="001B7E9B" w:rsidP="00FD1AA2">
      <w:pPr>
        <w:spacing w:after="240" w:line="360" w:lineRule="auto"/>
        <w:jc w:val="both"/>
        <w:rPr>
          <w:rFonts w:ascii="Times New Roman" w:hAnsi="Times New Roman"/>
          <w:b/>
          <w:sz w:val="28"/>
          <w:szCs w:val="28"/>
        </w:rPr>
      </w:pPr>
      <w:r w:rsidRPr="006366D8">
        <w:rPr>
          <w:rFonts w:ascii="Times New Roman" w:hAnsi="Times New Roman"/>
          <w:b/>
          <w:sz w:val="28"/>
          <w:szCs w:val="28"/>
        </w:rPr>
        <w:lastRenderedPageBreak/>
        <w:t>1</w:t>
      </w:r>
      <w:r w:rsidR="00A931A9" w:rsidRPr="006366D8">
        <w:rPr>
          <w:rFonts w:ascii="Times New Roman" w:hAnsi="Times New Roman"/>
          <w:b/>
          <w:sz w:val="28"/>
          <w:szCs w:val="28"/>
        </w:rPr>
        <w:t>.</w:t>
      </w:r>
      <w:r w:rsidRPr="006366D8">
        <w:rPr>
          <w:rFonts w:ascii="Times New Roman" w:hAnsi="Times New Roman"/>
          <w:b/>
          <w:sz w:val="28"/>
          <w:szCs w:val="28"/>
        </w:rPr>
        <w:t xml:space="preserve">3 </w:t>
      </w:r>
      <w:r w:rsidR="008A2257" w:rsidRPr="006366D8">
        <w:rPr>
          <w:rFonts w:ascii="Times New Roman" w:hAnsi="Times New Roman"/>
          <w:b/>
          <w:sz w:val="28"/>
          <w:szCs w:val="28"/>
        </w:rPr>
        <w:tab/>
      </w:r>
      <w:r w:rsidR="004C1480" w:rsidRPr="006366D8">
        <w:rPr>
          <w:rFonts w:ascii="Times New Roman" w:hAnsi="Times New Roman"/>
          <w:b/>
          <w:sz w:val="28"/>
          <w:szCs w:val="28"/>
        </w:rPr>
        <w:t>Statement of Problem</w:t>
      </w:r>
    </w:p>
    <w:p w:rsidR="004C1480" w:rsidRPr="00FD1AA2" w:rsidRDefault="00B16A0A" w:rsidP="00FD1AA2">
      <w:pPr>
        <w:spacing w:after="240" w:line="360" w:lineRule="auto"/>
        <w:jc w:val="both"/>
        <w:rPr>
          <w:rFonts w:ascii="Times New Roman" w:hAnsi="Times New Roman"/>
          <w:szCs w:val="28"/>
        </w:rPr>
      </w:pPr>
      <w:r w:rsidRPr="00FD1AA2">
        <w:rPr>
          <w:rFonts w:ascii="Times New Roman" w:hAnsi="Times New Roman"/>
          <w:szCs w:val="28"/>
        </w:rPr>
        <w:t>A bank’s financial soundness is judged on the basis of Capital adequacy,</w:t>
      </w:r>
      <w:r w:rsidR="0071544E" w:rsidRPr="00FD1AA2">
        <w:rPr>
          <w:rFonts w:ascii="Times New Roman" w:hAnsi="Times New Roman"/>
          <w:szCs w:val="28"/>
        </w:rPr>
        <w:t xml:space="preserve"> </w:t>
      </w:r>
      <w:r w:rsidRPr="00FD1AA2">
        <w:rPr>
          <w:rFonts w:ascii="Times New Roman" w:hAnsi="Times New Roman"/>
          <w:szCs w:val="28"/>
        </w:rPr>
        <w:t>asset quality,</w:t>
      </w:r>
      <w:r w:rsidR="0071544E" w:rsidRPr="00FD1AA2">
        <w:rPr>
          <w:rFonts w:ascii="Times New Roman" w:hAnsi="Times New Roman"/>
          <w:szCs w:val="28"/>
        </w:rPr>
        <w:t xml:space="preserve"> </w:t>
      </w:r>
      <w:r w:rsidRPr="00FD1AA2">
        <w:rPr>
          <w:rFonts w:ascii="Times New Roman" w:hAnsi="Times New Roman"/>
          <w:szCs w:val="28"/>
        </w:rPr>
        <w:t>management,</w:t>
      </w:r>
      <w:r w:rsidR="0071544E" w:rsidRPr="00FD1AA2">
        <w:rPr>
          <w:rFonts w:ascii="Times New Roman" w:hAnsi="Times New Roman"/>
          <w:szCs w:val="28"/>
        </w:rPr>
        <w:t xml:space="preserve"> </w:t>
      </w:r>
      <w:r w:rsidRPr="00FD1AA2">
        <w:rPr>
          <w:rFonts w:ascii="Times New Roman" w:hAnsi="Times New Roman"/>
          <w:szCs w:val="28"/>
        </w:rPr>
        <w:t>earning, liquidity</w:t>
      </w:r>
      <w:r w:rsidR="0071544E" w:rsidRPr="00FD1AA2">
        <w:rPr>
          <w:rFonts w:ascii="Times New Roman" w:hAnsi="Times New Roman"/>
          <w:szCs w:val="28"/>
        </w:rPr>
        <w:t xml:space="preserve"> </w:t>
      </w:r>
      <w:r w:rsidR="00C071E9">
        <w:rPr>
          <w:rFonts w:ascii="Times New Roman" w:hAnsi="Times New Roman"/>
          <w:szCs w:val="28"/>
        </w:rPr>
        <w:t>a</w:t>
      </w:r>
      <w:r w:rsidRPr="00FD1AA2">
        <w:rPr>
          <w:rFonts w:ascii="Times New Roman" w:hAnsi="Times New Roman"/>
          <w:szCs w:val="28"/>
        </w:rPr>
        <w:t>lmost all government banks in Nepal are running in loss.</w:t>
      </w:r>
      <w:r w:rsidR="0071544E" w:rsidRPr="00FD1AA2">
        <w:rPr>
          <w:rFonts w:ascii="Times New Roman" w:hAnsi="Times New Roman"/>
          <w:szCs w:val="28"/>
        </w:rPr>
        <w:t xml:space="preserve"> </w:t>
      </w:r>
      <w:r w:rsidRPr="00FD1AA2">
        <w:rPr>
          <w:rFonts w:ascii="Times New Roman" w:hAnsi="Times New Roman"/>
          <w:szCs w:val="28"/>
        </w:rPr>
        <w:t>Through almost all private sector banks are earning profit,</w:t>
      </w:r>
      <w:r w:rsidR="0071544E" w:rsidRPr="00FD1AA2">
        <w:rPr>
          <w:rFonts w:ascii="Times New Roman" w:hAnsi="Times New Roman"/>
          <w:szCs w:val="28"/>
        </w:rPr>
        <w:t xml:space="preserve"> </w:t>
      </w:r>
      <w:r w:rsidRPr="00FD1AA2">
        <w:rPr>
          <w:rFonts w:ascii="Times New Roman" w:hAnsi="Times New Roman"/>
          <w:szCs w:val="28"/>
        </w:rPr>
        <w:t xml:space="preserve">it is very difficult to call them sound if appraised from CAMEL approach. </w:t>
      </w:r>
      <w:r w:rsidR="004C1480" w:rsidRPr="00FD1AA2">
        <w:rPr>
          <w:rFonts w:ascii="Times New Roman" w:hAnsi="Times New Roman"/>
          <w:szCs w:val="28"/>
        </w:rPr>
        <w:t>It is said that the banking sector is the larger economy it is linkage to all sector makes is a proxy for what happening in the economy as a whole,</w:t>
      </w:r>
      <w:r w:rsidR="0071544E" w:rsidRPr="00FD1AA2">
        <w:rPr>
          <w:rFonts w:ascii="Times New Roman" w:hAnsi="Times New Roman"/>
          <w:szCs w:val="28"/>
        </w:rPr>
        <w:t xml:space="preserve"> </w:t>
      </w:r>
      <w:r w:rsidR="004C1480" w:rsidRPr="00FD1AA2">
        <w:rPr>
          <w:rFonts w:ascii="Times New Roman" w:hAnsi="Times New Roman"/>
          <w:szCs w:val="28"/>
        </w:rPr>
        <w:t>indeed the Nepalese banking sector today is at boiling point questions frequently raised are in a situation where must business is struggling,</w:t>
      </w:r>
      <w:r w:rsidR="0071544E" w:rsidRPr="00FD1AA2">
        <w:rPr>
          <w:rFonts w:ascii="Times New Roman" w:hAnsi="Times New Roman"/>
          <w:szCs w:val="28"/>
        </w:rPr>
        <w:t xml:space="preserve"> </w:t>
      </w:r>
      <w:r w:rsidR="004C1480" w:rsidRPr="00FD1AA2">
        <w:rPr>
          <w:rFonts w:ascii="Times New Roman" w:hAnsi="Times New Roman"/>
          <w:szCs w:val="28"/>
        </w:rPr>
        <w:t>how can bank show such large profit? Or if the banking se</w:t>
      </w:r>
      <w:r w:rsidR="00582E50">
        <w:rPr>
          <w:rFonts w:ascii="Times New Roman" w:hAnsi="Times New Roman"/>
          <w:szCs w:val="28"/>
        </w:rPr>
        <w:t>ctor mirrors the larger economy</w:t>
      </w:r>
      <w:r w:rsidR="004C1480" w:rsidRPr="00FD1AA2">
        <w:rPr>
          <w:rFonts w:ascii="Times New Roman" w:hAnsi="Times New Roman"/>
          <w:szCs w:val="28"/>
        </w:rPr>
        <w:t>,</w:t>
      </w:r>
      <w:r w:rsidR="00582E50">
        <w:rPr>
          <w:rFonts w:ascii="Times New Roman" w:hAnsi="Times New Roman"/>
          <w:szCs w:val="28"/>
        </w:rPr>
        <w:t xml:space="preserve"> </w:t>
      </w:r>
      <w:r w:rsidR="004C1480" w:rsidRPr="00FD1AA2">
        <w:rPr>
          <w:rFonts w:ascii="Times New Roman" w:hAnsi="Times New Roman"/>
          <w:szCs w:val="28"/>
        </w:rPr>
        <w:t>why is this inverse relationship in their performance? Banks and FIs can be evaluated comparing with Nepal Rastra Bank’s regulatory framework,</w:t>
      </w:r>
      <w:r w:rsidR="0071544E" w:rsidRPr="00FD1AA2">
        <w:rPr>
          <w:rFonts w:ascii="Times New Roman" w:hAnsi="Times New Roman"/>
          <w:szCs w:val="28"/>
        </w:rPr>
        <w:t xml:space="preserve"> </w:t>
      </w:r>
      <w:r w:rsidR="004C1480" w:rsidRPr="00FD1AA2">
        <w:rPr>
          <w:rFonts w:ascii="Times New Roman" w:hAnsi="Times New Roman"/>
          <w:szCs w:val="28"/>
        </w:rPr>
        <w:t>in which banks &amp; FIs are required to maintain a standard set by NRB.</w:t>
      </w:r>
      <w:r w:rsidR="00582E50">
        <w:rPr>
          <w:rFonts w:ascii="Times New Roman" w:hAnsi="Times New Roman"/>
          <w:szCs w:val="28"/>
        </w:rPr>
        <w:t xml:space="preserve"> </w:t>
      </w:r>
      <w:r w:rsidR="004C1480" w:rsidRPr="00FD1AA2">
        <w:rPr>
          <w:rFonts w:ascii="Times New Roman" w:hAnsi="Times New Roman"/>
          <w:szCs w:val="28"/>
        </w:rPr>
        <w:t>CAMEL is a widely used tool to analyze financial performance of banks.</w:t>
      </w:r>
    </w:p>
    <w:p w:rsidR="004C1480" w:rsidRPr="00FD1AA2" w:rsidRDefault="004C1480" w:rsidP="00FD1AA2">
      <w:pPr>
        <w:spacing w:after="240" w:line="360" w:lineRule="auto"/>
        <w:jc w:val="both"/>
        <w:rPr>
          <w:rFonts w:ascii="Times New Roman" w:hAnsi="Times New Roman"/>
          <w:szCs w:val="28"/>
        </w:rPr>
      </w:pPr>
      <w:r w:rsidRPr="00FD1AA2">
        <w:rPr>
          <w:rFonts w:ascii="Times New Roman" w:hAnsi="Times New Roman"/>
          <w:szCs w:val="28"/>
        </w:rPr>
        <w:t>The general problem towards which the study is directed to investigate the financial p</w:t>
      </w:r>
      <w:r w:rsidR="001B7E9B" w:rsidRPr="00FD1AA2">
        <w:rPr>
          <w:rFonts w:ascii="Times New Roman" w:hAnsi="Times New Roman"/>
          <w:szCs w:val="28"/>
        </w:rPr>
        <w:t>erformance of Machhapuchhre Bank limited</w:t>
      </w:r>
      <w:r w:rsidR="00183F6A" w:rsidRPr="00FD1AA2">
        <w:rPr>
          <w:rFonts w:ascii="Times New Roman" w:hAnsi="Times New Roman"/>
          <w:szCs w:val="28"/>
        </w:rPr>
        <w:t xml:space="preserve"> in the framework of CAME</w:t>
      </w:r>
      <w:r w:rsidR="00ED5DA2" w:rsidRPr="00FD1AA2">
        <w:rPr>
          <w:rFonts w:ascii="Times New Roman" w:hAnsi="Times New Roman"/>
          <w:szCs w:val="28"/>
        </w:rPr>
        <w:t>L</w:t>
      </w:r>
      <w:r w:rsidRPr="00FD1AA2">
        <w:rPr>
          <w:rFonts w:ascii="Times New Roman" w:hAnsi="Times New Roman"/>
          <w:szCs w:val="28"/>
        </w:rPr>
        <w:t>.</w:t>
      </w:r>
      <w:r w:rsidR="0071544E" w:rsidRPr="00FD1AA2">
        <w:rPr>
          <w:rFonts w:ascii="Times New Roman" w:hAnsi="Times New Roman"/>
          <w:szCs w:val="28"/>
        </w:rPr>
        <w:t xml:space="preserve"> For this analysis I </w:t>
      </w:r>
      <w:r w:rsidRPr="00FD1AA2">
        <w:rPr>
          <w:rFonts w:ascii="Times New Roman" w:hAnsi="Times New Roman"/>
          <w:szCs w:val="28"/>
        </w:rPr>
        <w:t>have taken the required data of past f</w:t>
      </w:r>
      <w:r w:rsidR="00ED5DA2" w:rsidRPr="00FD1AA2">
        <w:rPr>
          <w:rFonts w:ascii="Times New Roman" w:hAnsi="Times New Roman"/>
          <w:szCs w:val="28"/>
        </w:rPr>
        <w:t>ive years from (2062/063 to 2066/67</w:t>
      </w:r>
      <w:r w:rsidRPr="00FD1AA2">
        <w:rPr>
          <w:rFonts w:ascii="Times New Roman" w:hAnsi="Times New Roman"/>
          <w:szCs w:val="28"/>
        </w:rPr>
        <w:t>).Based on this fundamental problem the following specific problems are set in the study.</w:t>
      </w:r>
    </w:p>
    <w:p w:rsidR="004C1480" w:rsidRPr="00FD1AA2" w:rsidRDefault="004C1480" w:rsidP="009957EA">
      <w:pPr>
        <w:numPr>
          <w:ilvl w:val="0"/>
          <w:numId w:val="6"/>
        </w:numPr>
        <w:spacing w:after="120" w:line="360" w:lineRule="auto"/>
        <w:jc w:val="both"/>
        <w:rPr>
          <w:rFonts w:ascii="Times New Roman" w:hAnsi="Times New Roman"/>
          <w:szCs w:val="28"/>
        </w:rPr>
      </w:pPr>
      <w:r w:rsidRPr="00FD1AA2">
        <w:rPr>
          <w:rFonts w:ascii="Times New Roman" w:hAnsi="Times New Roman"/>
          <w:szCs w:val="28"/>
        </w:rPr>
        <w:t>What is the Capital adequacy ratio of the bank?</w:t>
      </w:r>
    </w:p>
    <w:p w:rsidR="004C1480" w:rsidRPr="00FD1AA2" w:rsidRDefault="004C1480" w:rsidP="009957EA">
      <w:pPr>
        <w:numPr>
          <w:ilvl w:val="0"/>
          <w:numId w:val="6"/>
        </w:numPr>
        <w:spacing w:after="120" w:line="360" w:lineRule="auto"/>
        <w:jc w:val="both"/>
        <w:rPr>
          <w:rFonts w:ascii="Times New Roman" w:hAnsi="Times New Roman"/>
          <w:szCs w:val="28"/>
        </w:rPr>
      </w:pPr>
      <w:r w:rsidRPr="00FD1AA2">
        <w:rPr>
          <w:rFonts w:ascii="Times New Roman" w:hAnsi="Times New Roman"/>
          <w:szCs w:val="28"/>
        </w:rPr>
        <w:t>How is quality of Assets of bank?</w:t>
      </w:r>
    </w:p>
    <w:p w:rsidR="004C1480" w:rsidRPr="00FD1AA2" w:rsidRDefault="004C1480" w:rsidP="009957EA">
      <w:pPr>
        <w:numPr>
          <w:ilvl w:val="0"/>
          <w:numId w:val="6"/>
        </w:numPr>
        <w:spacing w:after="120" w:line="360" w:lineRule="auto"/>
        <w:jc w:val="both"/>
        <w:rPr>
          <w:rFonts w:ascii="Times New Roman" w:hAnsi="Times New Roman"/>
          <w:szCs w:val="28"/>
        </w:rPr>
      </w:pPr>
      <w:r w:rsidRPr="00FD1AA2">
        <w:rPr>
          <w:rFonts w:ascii="Times New Roman" w:hAnsi="Times New Roman"/>
          <w:szCs w:val="28"/>
        </w:rPr>
        <w:t>How efficient is the management of the bank?</w:t>
      </w:r>
    </w:p>
    <w:p w:rsidR="004C1480" w:rsidRPr="00FD1AA2" w:rsidRDefault="004C1480" w:rsidP="009957EA">
      <w:pPr>
        <w:numPr>
          <w:ilvl w:val="0"/>
          <w:numId w:val="6"/>
        </w:numPr>
        <w:spacing w:after="120" w:line="360" w:lineRule="auto"/>
        <w:jc w:val="both"/>
        <w:rPr>
          <w:rFonts w:ascii="Times New Roman" w:hAnsi="Times New Roman"/>
          <w:szCs w:val="28"/>
        </w:rPr>
      </w:pPr>
      <w:r w:rsidRPr="00FD1AA2">
        <w:rPr>
          <w:rFonts w:ascii="Times New Roman" w:hAnsi="Times New Roman"/>
          <w:szCs w:val="28"/>
        </w:rPr>
        <w:t>Do the earning indicators show the performance of the bank satisfactory?</w:t>
      </w:r>
    </w:p>
    <w:p w:rsidR="004C1480" w:rsidRPr="00FD1AA2" w:rsidRDefault="004C1480" w:rsidP="009957EA">
      <w:pPr>
        <w:numPr>
          <w:ilvl w:val="0"/>
          <w:numId w:val="6"/>
        </w:numPr>
        <w:spacing w:after="120" w:line="360" w:lineRule="auto"/>
        <w:jc w:val="both"/>
        <w:rPr>
          <w:rFonts w:ascii="Times New Roman" w:hAnsi="Times New Roman"/>
          <w:szCs w:val="28"/>
        </w:rPr>
      </w:pPr>
      <w:r w:rsidRPr="00FD1AA2">
        <w:rPr>
          <w:rFonts w:ascii="Times New Roman" w:hAnsi="Times New Roman"/>
          <w:szCs w:val="28"/>
        </w:rPr>
        <w:t>What is the liquidity position of the bank?</w:t>
      </w:r>
    </w:p>
    <w:p w:rsidR="004C1480" w:rsidRPr="006366D8" w:rsidRDefault="00B16A0A" w:rsidP="00FD1AA2">
      <w:pPr>
        <w:spacing w:after="240" w:line="360" w:lineRule="auto"/>
        <w:jc w:val="both"/>
        <w:rPr>
          <w:rFonts w:ascii="Times New Roman" w:hAnsi="Times New Roman"/>
          <w:b/>
          <w:sz w:val="28"/>
        </w:rPr>
      </w:pPr>
      <w:r w:rsidRPr="006366D8">
        <w:rPr>
          <w:rFonts w:ascii="Times New Roman" w:hAnsi="Times New Roman"/>
          <w:b/>
          <w:sz w:val="28"/>
        </w:rPr>
        <w:t>1</w:t>
      </w:r>
      <w:r w:rsidR="00A931A9" w:rsidRPr="006366D8">
        <w:rPr>
          <w:rFonts w:ascii="Times New Roman" w:hAnsi="Times New Roman"/>
          <w:b/>
          <w:sz w:val="28"/>
        </w:rPr>
        <w:t>.</w:t>
      </w:r>
      <w:r w:rsidRPr="006366D8">
        <w:rPr>
          <w:rFonts w:ascii="Times New Roman" w:hAnsi="Times New Roman"/>
          <w:b/>
          <w:sz w:val="28"/>
        </w:rPr>
        <w:t>4</w:t>
      </w:r>
      <w:r w:rsidR="00830457" w:rsidRPr="006366D8">
        <w:rPr>
          <w:rFonts w:ascii="Times New Roman" w:hAnsi="Times New Roman"/>
          <w:b/>
          <w:sz w:val="28"/>
        </w:rPr>
        <w:t xml:space="preserve"> </w:t>
      </w:r>
      <w:r w:rsidR="004C1480" w:rsidRPr="006366D8">
        <w:rPr>
          <w:rFonts w:ascii="Times New Roman" w:hAnsi="Times New Roman"/>
          <w:b/>
          <w:sz w:val="28"/>
        </w:rPr>
        <w:t xml:space="preserve"> </w:t>
      </w:r>
      <w:r w:rsidR="008A2257" w:rsidRPr="006366D8">
        <w:rPr>
          <w:rFonts w:ascii="Times New Roman" w:hAnsi="Times New Roman"/>
          <w:b/>
          <w:sz w:val="28"/>
        </w:rPr>
        <w:tab/>
      </w:r>
      <w:r w:rsidR="009957EA" w:rsidRPr="006366D8">
        <w:rPr>
          <w:rFonts w:ascii="Times New Roman" w:hAnsi="Times New Roman"/>
          <w:b/>
          <w:sz w:val="28"/>
        </w:rPr>
        <w:t>Objective of S</w:t>
      </w:r>
      <w:r w:rsidR="004C1480" w:rsidRPr="006366D8">
        <w:rPr>
          <w:rFonts w:ascii="Times New Roman" w:hAnsi="Times New Roman"/>
          <w:b/>
          <w:sz w:val="28"/>
        </w:rPr>
        <w:t>tudy</w:t>
      </w:r>
    </w:p>
    <w:p w:rsidR="004C1480" w:rsidRPr="00FD1AA2" w:rsidRDefault="004C1480" w:rsidP="00FD1AA2">
      <w:pPr>
        <w:spacing w:after="240" w:line="360" w:lineRule="auto"/>
        <w:jc w:val="both"/>
        <w:rPr>
          <w:rFonts w:ascii="Times New Roman" w:hAnsi="Times New Roman"/>
          <w:szCs w:val="28"/>
        </w:rPr>
      </w:pPr>
      <w:r w:rsidRPr="00FD1AA2">
        <w:rPr>
          <w:rFonts w:ascii="Times New Roman" w:hAnsi="Times New Roman"/>
          <w:szCs w:val="28"/>
        </w:rPr>
        <w:t>The fundamental objective of the study is to analyze the financial pe</w:t>
      </w:r>
      <w:r w:rsidR="00B16A0A" w:rsidRPr="00FD1AA2">
        <w:rPr>
          <w:rFonts w:ascii="Times New Roman" w:hAnsi="Times New Roman"/>
          <w:szCs w:val="28"/>
        </w:rPr>
        <w:t>rformance of  Machhapuchhre Bank Limited</w:t>
      </w:r>
      <w:r w:rsidRPr="00FD1AA2">
        <w:rPr>
          <w:rFonts w:ascii="Times New Roman" w:hAnsi="Times New Roman"/>
          <w:szCs w:val="28"/>
        </w:rPr>
        <w:t xml:space="preserve"> with reference to CAMEL framework.</w:t>
      </w:r>
      <w:r w:rsidR="00830457" w:rsidRPr="00FD1AA2">
        <w:rPr>
          <w:rFonts w:ascii="Times New Roman" w:hAnsi="Times New Roman"/>
          <w:szCs w:val="28"/>
        </w:rPr>
        <w:t xml:space="preserve"> </w:t>
      </w:r>
      <w:r w:rsidRPr="00FD1AA2">
        <w:rPr>
          <w:rFonts w:ascii="Times New Roman" w:hAnsi="Times New Roman"/>
          <w:szCs w:val="28"/>
        </w:rPr>
        <w:t>The study has been undertaken with the following specific objective.</w:t>
      </w:r>
    </w:p>
    <w:p w:rsidR="00D053D8" w:rsidRDefault="00D053D8">
      <w:pPr>
        <w:spacing w:after="200" w:line="276" w:lineRule="auto"/>
        <w:rPr>
          <w:rFonts w:ascii="Times New Roman" w:hAnsi="Times New Roman"/>
          <w:szCs w:val="28"/>
        </w:rPr>
      </w:pPr>
      <w:r>
        <w:rPr>
          <w:rFonts w:ascii="Times New Roman" w:hAnsi="Times New Roman"/>
          <w:szCs w:val="28"/>
        </w:rPr>
        <w:br w:type="page"/>
      </w:r>
    </w:p>
    <w:p w:rsidR="004C1480" w:rsidRPr="00FD1AA2" w:rsidRDefault="004C1480" w:rsidP="009957EA">
      <w:pPr>
        <w:numPr>
          <w:ilvl w:val="0"/>
          <w:numId w:val="7"/>
        </w:numPr>
        <w:spacing w:after="120" w:line="360" w:lineRule="auto"/>
        <w:jc w:val="both"/>
        <w:rPr>
          <w:rFonts w:ascii="Times New Roman" w:hAnsi="Times New Roman"/>
          <w:szCs w:val="28"/>
        </w:rPr>
      </w:pPr>
      <w:r w:rsidRPr="00FD1AA2">
        <w:rPr>
          <w:rFonts w:ascii="Times New Roman" w:hAnsi="Times New Roman"/>
          <w:szCs w:val="28"/>
        </w:rPr>
        <w:lastRenderedPageBreak/>
        <w:t>To examine the Capital adequacy of the bank.</w:t>
      </w:r>
    </w:p>
    <w:p w:rsidR="004C1480" w:rsidRPr="00FD1AA2" w:rsidRDefault="004C1480" w:rsidP="009957EA">
      <w:pPr>
        <w:numPr>
          <w:ilvl w:val="0"/>
          <w:numId w:val="7"/>
        </w:numPr>
        <w:spacing w:after="120" w:line="360" w:lineRule="auto"/>
        <w:jc w:val="both"/>
        <w:rPr>
          <w:rFonts w:ascii="Times New Roman" w:hAnsi="Times New Roman"/>
          <w:szCs w:val="28"/>
        </w:rPr>
      </w:pPr>
      <w:r w:rsidRPr="00FD1AA2">
        <w:rPr>
          <w:rFonts w:ascii="Times New Roman" w:hAnsi="Times New Roman"/>
          <w:szCs w:val="28"/>
        </w:rPr>
        <w:t>To assess the quality of the bank’s assets.</w:t>
      </w:r>
    </w:p>
    <w:p w:rsidR="004C1480" w:rsidRPr="00FD1AA2" w:rsidRDefault="004C1480" w:rsidP="009957EA">
      <w:pPr>
        <w:numPr>
          <w:ilvl w:val="0"/>
          <w:numId w:val="7"/>
        </w:numPr>
        <w:spacing w:after="120" w:line="360" w:lineRule="auto"/>
        <w:jc w:val="both"/>
        <w:rPr>
          <w:rFonts w:ascii="Times New Roman" w:hAnsi="Times New Roman"/>
          <w:szCs w:val="28"/>
        </w:rPr>
      </w:pPr>
      <w:r w:rsidRPr="00FD1AA2">
        <w:rPr>
          <w:rFonts w:ascii="Times New Roman" w:hAnsi="Times New Roman"/>
          <w:szCs w:val="28"/>
        </w:rPr>
        <w:t>To analyze the efficiency of the bank’s management.</w:t>
      </w:r>
    </w:p>
    <w:p w:rsidR="004C1480" w:rsidRPr="00FD1AA2" w:rsidRDefault="004C1480" w:rsidP="009957EA">
      <w:pPr>
        <w:numPr>
          <w:ilvl w:val="0"/>
          <w:numId w:val="7"/>
        </w:numPr>
        <w:spacing w:after="120" w:line="360" w:lineRule="auto"/>
        <w:jc w:val="both"/>
        <w:rPr>
          <w:rFonts w:ascii="Times New Roman" w:hAnsi="Times New Roman"/>
          <w:szCs w:val="28"/>
        </w:rPr>
      </w:pPr>
      <w:r w:rsidRPr="00FD1AA2">
        <w:rPr>
          <w:rFonts w:ascii="Times New Roman" w:hAnsi="Times New Roman"/>
          <w:szCs w:val="28"/>
        </w:rPr>
        <w:t>To evaluate the earning performance of the bank.</w:t>
      </w:r>
    </w:p>
    <w:p w:rsidR="004C1480" w:rsidRPr="00FD1AA2" w:rsidRDefault="004C1480" w:rsidP="009957EA">
      <w:pPr>
        <w:numPr>
          <w:ilvl w:val="0"/>
          <w:numId w:val="7"/>
        </w:numPr>
        <w:spacing w:after="120" w:line="360" w:lineRule="auto"/>
        <w:jc w:val="both"/>
        <w:rPr>
          <w:rFonts w:ascii="Times New Roman" w:hAnsi="Times New Roman"/>
          <w:szCs w:val="28"/>
        </w:rPr>
      </w:pPr>
      <w:r w:rsidRPr="00FD1AA2">
        <w:rPr>
          <w:rFonts w:ascii="Times New Roman" w:hAnsi="Times New Roman"/>
          <w:szCs w:val="28"/>
        </w:rPr>
        <w:t>To find out the liquidity position of the bank.</w:t>
      </w:r>
    </w:p>
    <w:p w:rsidR="004C1480" w:rsidRPr="006366D8" w:rsidRDefault="00830457" w:rsidP="00FD1AA2">
      <w:pPr>
        <w:spacing w:after="240" w:line="360" w:lineRule="auto"/>
        <w:jc w:val="both"/>
        <w:rPr>
          <w:rFonts w:ascii="Times New Roman" w:hAnsi="Times New Roman"/>
          <w:b/>
          <w:sz w:val="28"/>
          <w:szCs w:val="28"/>
        </w:rPr>
      </w:pPr>
      <w:r w:rsidRPr="006366D8">
        <w:rPr>
          <w:rFonts w:ascii="Times New Roman" w:hAnsi="Times New Roman"/>
          <w:b/>
          <w:sz w:val="28"/>
          <w:szCs w:val="28"/>
        </w:rPr>
        <w:t>1</w:t>
      </w:r>
      <w:r w:rsidR="00A931A9" w:rsidRPr="006366D8">
        <w:rPr>
          <w:rFonts w:ascii="Times New Roman" w:hAnsi="Times New Roman"/>
          <w:b/>
          <w:sz w:val="28"/>
          <w:szCs w:val="28"/>
        </w:rPr>
        <w:t>.</w:t>
      </w:r>
      <w:r w:rsidRPr="006366D8">
        <w:rPr>
          <w:rFonts w:ascii="Times New Roman" w:hAnsi="Times New Roman"/>
          <w:b/>
          <w:sz w:val="28"/>
          <w:szCs w:val="28"/>
        </w:rPr>
        <w:t xml:space="preserve">5 </w:t>
      </w:r>
      <w:r w:rsidR="008A2257" w:rsidRPr="006366D8">
        <w:rPr>
          <w:rFonts w:ascii="Times New Roman" w:hAnsi="Times New Roman"/>
          <w:b/>
          <w:sz w:val="28"/>
          <w:szCs w:val="28"/>
        </w:rPr>
        <w:tab/>
      </w:r>
      <w:r w:rsidR="0071544E" w:rsidRPr="006366D8">
        <w:rPr>
          <w:rFonts w:ascii="Times New Roman" w:hAnsi="Times New Roman"/>
          <w:b/>
          <w:sz w:val="28"/>
          <w:szCs w:val="28"/>
        </w:rPr>
        <w:t>Significance of S</w:t>
      </w:r>
      <w:r w:rsidR="004C1480" w:rsidRPr="006366D8">
        <w:rPr>
          <w:rFonts w:ascii="Times New Roman" w:hAnsi="Times New Roman"/>
          <w:b/>
          <w:sz w:val="28"/>
          <w:szCs w:val="28"/>
        </w:rPr>
        <w:t>tudy</w:t>
      </w:r>
    </w:p>
    <w:p w:rsidR="004C1480" w:rsidRPr="00FD1AA2" w:rsidRDefault="004C1480" w:rsidP="00FD1AA2">
      <w:pPr>
        <w:spacing w:after="240" w:line="360" w:lineRule="auto"/>
        <w:jc w:val="both"/>
        <w:rPr>
          <w:rFonts w:ascii="Times New Roman" w:hAnsi="Times New Roman"/>
          <w:szCs w:val="28"/>
        </w:rPr>
      </w:pPr>
      <w:r w:rsidRPr="00FD1AA2">
        <w:rPr>
          <w:rFonts w:ascii="Times New Roman" w:hAnsi="Times New Roman"/>
          <w:szCs w:val="28"/>
        </w:rPr>
        <w:t>The study deals with different financial performance and it’s indicator as well as financial viabil</w:t>
      </w:r>
      <w:r w:rsidR="00B16A0A" w:rsidRPr="00FD1AA2">
        <w:rPr>
          <w:rFonts w:ascii="Times New Roman" w:hAnsi="Times New Roman"/>
          <w:szCs w:val="28"/>
        </w:rPr>
        <w:t>ity of the banks.</w:t>
      </w:r>
      <w:r w:rsidR="0071544E" w:rsidRPr="00FD1AA2">
        <w:rPr>
          <w:rFonts w:ascii="Times New Roman" w:hAnsi="Times New Roman"/>
          <w:szCs w:val="28"/>
        </w:rPr>
        <w:t xml:space="preserve"> </w:t>
      </w:r>
      <w:r w:rsidR="00B16A0A" w:rsidRPr="00FD1AA2">
        <w:rPr>
          <w:rFonts w:ascii="Times New Roman" w:hAnsi="Times New Roman"/>
          <w:szCs w:val="28"/>
        </w:rPr>
        <w:t>The study also</w:t>
      </w:r>
      <w:r w:rsidRPr="00FD1AA2">
        <w:rPr>
          <w:rFonts w:ascii="Times New Roman" w:hAnsi="Times New Roman"/>
          <w:szCs w:val="28"/>
        </w:rPr>
        <w:t xml:space="preserve"> significance lies mainly in identifying and comparing the financial health of bank in the framework of CAMEL.</w:t>
      </w:r>
      <w:r w:rsidR="0071544E" w:rsidRPr="00FD1AA2">
        <w:rPr>
          <w:rFonts w:ascii="Times New Roman" w:hAnsi="Times New Roman"/>
          <w:szCs w:val="28"/>
        </w:rPr>
        <w:t xml:space="preserve"> </w:t>
      </w:r>
      <w:r w:rsidRPr="00FD1AA2">
        <w:rPr>
          <w:rFonts w:ascii="Times New Roman" w:hAnsi="Times New Roman"/>
          <w:szCs w:val="28"/>
        </w:rPr>
        <w:t>This study also provides necessary information of performance capability of their banks to the management.</w:t>
      </w:r>
      <w:r w:rsidR="0071544E" w:rsidRPr="00FD1AA2">
        <w:rPr>
          <w:rFonts w:ascii="Times New Roman" w:hAnsi="Times New Roman"/>
          <w:szCs w:val="28"/>
        </w:rPr>
        <w:t xml:space="preserve"> </w:t>
      </w:r>
      <w:r w:rsidRPr="00FD1AA2">
        <w:rPr>
          <w:rFonts w:ascii="Times New Roman" w:hAnsi="Times New Roman"/>
          <w:szCs w:val="28"/>
        </w:rPr>
        <w:t>It provide the real picture</w:t>
      </w:r>
      <w:r w:rsidR="0071544E" w:rsidRPr="00FD1AA2">
        <w:rPr>
          <w:rFonts w:ascii="Times New Roman" w:hAnsi="Times New Roman"/>
          <w:szCs w:val="28"/>
        </w:rPr>
        <w:t xml:space="preserve"> of performance which is benefic</w:t>
      </w:r>
      <w:r w:rsidRPr="00FD1AA2">
        <w:rPr>
          <w:rFonts w:ascii="Times New Roman" w:hAnsi="Times New Roman"/>
          <w:szCs w:val="28"/>
        </w:rPr>
        <w:t>ial to potential as well as existing shareholders about risk,</w:t>
      </w:r>
      <w:r w:rsidR="0071544E" w:rsidRPr="00FD1AA2">
        <w:rPr>
          <w:rFonts w:ascii="Times New Roman" w:hAnsi="Times New Roman"/>
          <w:szCs w:val="28"/>
        </w:rPr>
        <w:t xml:space="preserve"> </w:t>
      </w:r>
      <w:r w:rsidRPr="00FD1AA2">
        <w:rPr>
          <w:rFonts w:ascii="Times New Roman" w:hAnsi="Times New Roman"/>
          <w:szCs w:val="28"/>
        </w:rPr>
        <w:t>return and utilizing fund.</w:t>
      </w:r>
      <w:r w:rsidR="0071544E" w:rsidRPr="00FD1AA2">
        <w:rPr>
          <w:rFonts w:ascii="Times New Roman" w:hAnsi="Times New Roman"/>
          <w:szCs w:val="28"/>
        </w:rPr>
        <w:t xml:space="preserve"> </w:t>
      </w:r>
      <w:r w:rsidRPr="00FD1AA2">
        <w:rPr>
          <w:rFonts w:ascii="Times New Roman" w:hAnsi="Times New Roman"/>
          <w:szCs w:val="28"/>
        </w:rPr>
        <w:t>The study is also useful for depositors,</w:t>
      </w:r>
      <w:r w:rsidR="0071544E" w:rsidRPr="00FD1AA2">
        <w:rPr>
          <w:rFonts w:ascii="Times New Roman" w:hAnsi="Times New Roman"/>
          <w:szCs w:val="28"/>
        </w:rPr>
        <w:t xml:space="preserve"> </w:t>
      </w:r>
      <w:r w:rsidRPr="00FD1AA2">
        <w:rPr>
          <w:rFonts w:ascii="Times New Roman" w:hAnsi="Times New Roman"/>
          <w:szCs w:val="28"/>
        </w:rPr>
        <w:t>merchant bankers as well as other stakeholders,</w:t>
      </w:r>
      <w:r w:rsidR="0071544E" w:rsidRPr="00FD1AA2">
        <w:rPr>
          <w:rFonts w:ascii="Times New Roman" w:hAnsi="Times New Roman"/>
          <w:szCs w:val="28"/>
        </w:rPr>
        <w:t xml:space="preserve"> </w:t>
      </w:r>
      <w:r w:rsidRPr="00FD1AA2">
        <w:rPr>
          <w:rFonts w:ascii="Times New Roman" w:hAnsi="Times New Roman"/>
          <w:szCs w:val="28"/>
        </w:rPr>
        <w:t>they can identify the overall performance of the bank.</w:t>
      </w:r>
      <w:r w:rsidR="008A2257" w:rsidRPr="00FD1AA2">
        <w:rPr>
          <w:rFonts w:ascii="Times New Roman" w:hAnsi="Times New Roman"/>
          <w:szCs w:val="28"/>
        </w:rPr>
        <w:t xml:space="preserve"> </w:t>
      </w:r>
      <w:r w:rsidRPr="00FD1AA2">
        <w:rPr>
          <w:rFonts w:ascii="Times New Roman" w:hAnsi="Times New Roman"/>
          <w:szCs w:val="28"/>
        </w:rPr>
        <w:t>It will be helpful those who want to conduct further study in this field.</w:t>
      </w:r>
      <w:r w:rsidR="008A2257" w:rsidRPr="00FD1AA2">
        <w:rPr>
          <w:rFonts w:ascii="Times New Roman" w:hAnsi="Times New Roman"/>
          <w:szCs w:val="28"/>
        </w:rPr>
        <w:t xml:space="preserve"> </w:t>
      </w:r>
      <w:r w:rsidRPr="00FD1AA2">
        <w:rPr>
          <w:rFonts w:ascii="Times New Roman" w:hAnsi="Times New Roman"/>
          <w:szCs w:val="28"/>
        </w:rPr>
        <w:t>Mainly, the purposed study will be significance for researcher,</w:t>
      </w:r>
      <w:r w:rsidR="008A2257" w:rsidRPr="00FD1AA2">
        <w:rPr>
          <w:rFonts w:ascii="Times New Roman" w:hAnsi="Times New Roman"/>
          <w:szCs w:val="28"/>
        </w:rPr>
        <w:t xml:space="preserve"> </w:t>
      </w:r>
      <w:r w:rsidR="0071544E" w:rsidRPr="00FD1AA2">
        <w:rPr>
          <w:rFonts w:ascii="Times New Roman" w:hAnsi="Times New Roman"/>
          <w:szCs w:val="28"/>
        </w:rPr>
        <w:t>research group and acade</w:t>
      </w:r>
      <w:r w:rsidRPr="00FD1AA2">
        <w:rPr>
          <w:rFonts w:ascii="Times New Roman" w:hAnsi="Times New Roman"/>
          <w:szCs w:val="28"/>
        </w:rPr>
        <w:t>micians for the f</w:t>
      </w:r>
      <w:r w:rsidR="0060001F" w:rsidRPr="00FD1AA2">
        <w:rPr>
          <w:rFonts w:ascii="Times New Roman" w:hAnsi="Times New Roman"/>
          <w:szCs w:val="28"/>
        </w:rPr>
        <w:t>uture in the view of review.</w:t>
      </w:r>
    </w:p>
    <w:p w:rsidR="00464314" w:rsidRPr="006366D8" w:rsidRDefault="00830457" w:rsidP="00FD1AA2">
      <w:pPr>
        <w:spacing w:after="240" w:line="360" w:lineRule="auto"/>
        <w:jc w:val="both"/>
        <w:rPr>
          <w:rFonts w:ascii="Times New Roman" w:hAnsi="Times New Roman"/>
          <w:b/>
          <w:sz w:val="28"/>
          <w:szCs w:val="28"/>
        </w:rPr>
      </w:pPr>
      <w:r w:rsidRPr="006366D8">
        <w:rPr>
          <w:rFonts w:ascii="Times New Roman" w:hAnsi="Times New Roman"/>
          <w:b/>
          <w:sz w:val="28"/>
          <w:szCs w:val="28"/>
        </w:rPr>
        <w:t>1</w:t>
      </w:r>
      <w:r w:rsidR="00E8573E" w:rsidRPr="006366D8">
        <w:rPr>
          <w:rFonts w:ascii="Times New Roman" w:hAnsi="Times New Roman"/>
          <w:b/>
          <w:sz w:val="28"/>
          <w:szCs w:val="28"/>
        </w:rPr>
        <w:t>.</w:t>
      </w:r>
      <w:r w:rsidRPr="006366D8">
        <w:rPr>
          <w:rFonts w:ascii="Times New Roman" w:hAnsi="Times New Roman"/>
          <w:b/>
          <w:sz w:val="28"/>
          <w:szCs w:val="28"/>
        </w:rPr>
        <w:t xml:space="preserve">6 </w:t>
      </w:r>
      <w:r w:rsidR="008A2257" w:rsidRPr="006366D8">
        <w:rPr>
          <w:rFonts w:ascii="Times New Roman" w:hAnsi="Times New Roman"/>
          <w:b/>
          <w:sz w:val="28"/>
          <w:szCs w:val="28"/>
        </w:rPr>
        <w:tab/>
      </w:r>
      <w:r w:rsidR="00464314" w:rsidRPr="006366D8">
        <w:rPr>
          <w:rFonts w:ascii="Times New Roman" w:hAnsi="Times New Roman"/>
          <w:b/>
          <w:sz w:val="28"/>
          <w:szCs w:val="28"/>
        </w:rPr>
        <w:t>Limitation of Study</w:t>
      </w:r>
    </w:p>
    <w:p w:rsidR="00464314" w:rsidRPr="00FD1AA2" w:rsidRDefault="00464314" w:rsidP="00FD1AA2">
      <w:pPr>
        <w:spacing w:after="240" w:line="360" w:lineRule="auto"/>
        <w:jc w:val="both"/>
        <w:rPr>
          <w:rFonts w:ascii="Times New Roman" w:hAnsi="Times New Roman"/>
          <w:b/>
          <w:szCs w:val="28"/>
        </w:rPr>
      </w:pPr>
      <w:r w:rsidRPr="00FD1AA2">
        <w:rPr>
          <w:rFonts w:ascii="Times New Roman" w:hAnsi="Times New Roman"/>
          <w:szCs w:val="28"/>
        </w:rPr>
        <w:t>The study has assumed the following limitations:</w:t>
      </w:r>
    </w:p>
    <w:p w:rsidR="00927238" w:rsidRDefault="006366D8" w:rsidP="009957EA">
      <w:pPr>
        <w:numPr>
          <w:ilvl w:val="0"/>
          <w:numId w:val="4"/>
        </w:numPr>
        <w:tabs>
          <w:tab w:val="left" w:pos="180"/>
        </w:tabs>
        <w:spacing w:after="120" w:line="360" w:lineRule="auto"/>
        <w:jc w:val="both"/>
        <w:rPr>
          <w:rFonts w:ascii="Times New Roman" w:hAnsi="Times New Roman"/>
          <w:szCs w:val="28"/>
        </w:rPr>
      </w:pPr>
      <w:r w:rsidRPr="00927238">
        <w:rPr>
          <w:rFonts w:ascii="Times New Roman" w:hAnsi="Times New Roman"/>
          <w:szCs w:val="28"/>
        </w:rPr>
        <w:t>T</w:t>
      </w:r>
      <w:r w:rsidR="00927238" w:rsidRPr="00927238">
        <w:rPr>
          <w:rFonts w:ascii="Times New Roman" w:hAnsi="Times New Roman"/>
          <w:szCs w:val="28"/>
        </w:rPr>
        <w:t>he</w:t>
      </w:r>
      <w:r w:rsidR="00464314" w:rsidRPr="00927238">
        <w:rPr>
          <w:rFonts w:ascii="Times New Roman" w:hAnsi="Times New Roman"/>
          <w:szCs w:val="28"/>
        </w:rPr>
        <w:t xml:space="preserve"> study </w:t>
      </w:r>
      <w:r w:rsidR="00927238" w:rsidRPr="00927238">
        <w:rPr>
          <w:rFonts w:ascii="Times New Roman" w:hAnsi="Times New Roman"/>
          <w:szCs w:val="28"/>
        </w:rPr>
        <w:t>concentrate</w:t>
      </w:r>
      <w:r w:rsidR="00464314" w:rsidRPr="00927238">
        <w:rPr>
          <w:rFonts w:ascii="Times New Roman" w:hAnsi="Times New Roman"/>
          <w:szCs w:val="28"/>
        </w:rPr>
        <w:t xml:space="preserve"> only on the CAMEL i.e. (Capital adequacy, Assets quality, Management, Earning, Liquidity) function of selected bank</w:t>
      </w:r>
      <w:r w:rsidR="00927238" w:rsidRPr="00927238">
        <w:rPr>
          <w:rFonts w:ascii="Times New Roman" w:hAnsi="Times New Roman"/>
          <w:szCs w:val="28"/>
        </w:rPr>
        <w:t>.</w:t>
      </w:r>
      <w:r w:rsidR="00464314" w:rsidRPr="00927238">
        <w:rPr>
          <w:rFonts w:ascii="Times New Roman" w:hAnsi="Times New Roman"/>
          <w:szCs w:val="28"/>
        </w:rPr>
        <w:t xml:space="preserve"> </w:t>
      </w:r>
    </w:p>
    <w:p w:rsidR="00464314" w:rsidRPr="00927238" w:rsidRDefault="00FD11D3" w:rsidP="009957EA">
      <w:pPr>
        <w:numPr>
          <w:ilvl w:val="0"/>
          <w:numId w:val="4"/>
        </w:numPr>
        <w:tabs>
          <w:tab w:val="left" w:pos="180"/>
        </w:tabs>
        <w:spacing w:after="120" w:line="360" w:lineRule="auto"/>
        <w:jc w:val="both"/>
        <w:rPr>
          <w:rFonts w:ascii="Times New Roman" w:hAnsi="Times New Roman"/>
          <w:szCs w:val="28"/>
        </w:rPr>
      </w:pPr>
      <w:r w:rsidRPr="00927238">
        <w:rPr>
          <w:rFonts w:ascii="Times New Roman" w:hAnsi="Times New Roman"/>
          <w:szCs w:val="28"/>
        </w:rPr>
        <w:t xml:space="preserve">The period of study </w:t>
      </w:r>
      <w:r w:rsidR="00364E57">
        <w:rPr>
          <w:rFonts w:ascii="Times New Roman" w:hAnsi="Times New Roman"/>
          <w:szCs w:val="28"/>
        </w:rPr>
        <w:t xml:space="preserve">only </w:t>
      </w:r>
      <w:r w:rsidR="0060001F" w:rsidRPr="00927238">
        <w:rPr>
          <w:rFonts w:ascii="Times New Roman" w:hAnsi="Times New Roman"/>
          <w:szCs w:val="28"/>
        </w:rPr>
        <w:t>covers five years</w:t>
      </w:r>
      <w:r w:rsidR="00364E57">
        <w:rPr>
          <w:rFonts w:ascii="Times New Roman" w:hAnsi="Times New Roman"/>
          <w:szCs w:val="28"/>
        </w:rPr>
        <w:t xml:space="preserve"> from</w:t>
      </w:r>
      <w:r w:rsidR="0060001F" w:rsidRPr="00927238">
        <w:rPr>
          <w:rFonts w:ascii="Times New Roman" w:hAnsi="Times New Roman"/>
          <w:szCs w:val="28"/>
        </w:rPr>
        <w:t xml:space="preserve"> (2062/063 to 2066/67</w:t>
      </w:r>
      <w:r w:rsidR="00464314" w:rsidRPr="00927238">
        <w:rPr>
          <w:rFonts w:ascii="Times New Roman" w:hAnsi="Times New Roman"/>
          <w:szCs w:val="28"/>
        </w:rPr>
        <w:t>)</w:t>
      </w:r>
    </w:p>
    <w:p w:rsidR="008F04D3" w:rsidRDefault="00464314" w:rsidP="009957EA">
      <w:pPr>
        <w:numPr>
          <w:ilvl w:val="0"/>
          <w:numId w:val="4"/>
        </w:numPr>
        <w:tabs>
          <w:tab w:val="left" w:pos="180"/>
        </w:tabs>
        <w:spacing w:after="120" w:line="360" w:lineRule="auto"/>
        <w:jc w:val="both"/>
        <w:rPr>
          <w:rFonts w:ascii="Times New Roman" w:hAnsi="Times New Roman"/>
          <w:szCs w:val="28"/>
        </w:rPr>
      </w:pPr>
      <w:r w:rsidRPr="008F04D3">
        <w:rPr>
          <w:rFonts w:ascii="Times New Roman" w:hAnsi="Times New Roman"/>
          <w:szCs w:val="28"/>
        </w:rPr>
        <w:t xml:space="preserve">The </w:t>
      </w:r>
      <w:r w:rsidR="008F04D3" w:rsidRPr="008F04D3">
        <w:rPr>
          <w:rFonts w:ascii="Times New Roman" w:hAnsi="Times New Roman"/>
          <w:szCs w:val="28"/>
        </w:rPr>
        <w:t>study is based on o</w:t>
      </w:r>
      <w:r w:rsidR="00707565">
        <w:rPr>
          <w:rFonts w:ascii="Times New Roman" w:hAnsi="Times New Roman"/>
          <w:szCs w:val="28"/>
        </w:rPr>
        <w:t>nly secondary data</w:t>
      </w:r>
      <w:r w:rsidR="008F04D3" w:rsidRPr="008F04D3">
        <w:rPr>
          <w:rFonts w:ascii="Times New Roman" w:hAnsi="Times New Roman"/>
          <w:szCs w:val="28"/>
        </w:rPr>
        <w:t>.</w:t>
      </w:r>
    </w:p>
    <w:p w:rsidR="00464314" w:rsidRPr="00FD1AA2" w:rsidRDefault="0060001F" w:rsidP="009957EA">
      <w:pPr>
        <w:numPr>
          <w:ilvl w:val="0"/>
          <w:numId w:val="4"/>
        </w:numPr>
        <w:tabs>
          <w:tab w:val="left" w:pos="180"/>
        </w:tabs>
        <w:spacing w:after="120" w:line="360" w:lineRule="auto"/>
        <w:jc w:val="both"/>
        <w:rPr>
          <w:rFonts w:ascii="Times New Roman" w:hAnsi="Times New Roman"/>
          <w:szCs w:val="28"/>
        </w:rPr>
      </w:pPr>
      <w:r w:rsidRPr="008F04D3">
        <w:rPr>
          <w:rFonts w:ascii="Times New Roman" w:hAnsi="Times New Roman"/>
          <w:szCs w:val="28"/>
        </w:rPr>
        <w:t>Th</w:t>
      </w:r>
      <w:r w:rsidR="008F04D3">
        <w:rPr>
          <w:rFonts w:ascii="Times New Roman" w:hAnsi="Times New Roman"/>
          <w:szCs w:val="28"/>
        </w:rPr>
        <w:t>e</w:t>
      </w:r>
      <w:r w:rsidRPr="008F04D3">
        <w:rPr>
          <w:rFonts w:ascii="Times New Roman" w:hAnsi="Times New Roman"/>
          <w:szCs w:val="28"/>
        </w:rPr>
        <w:t xml:space="preserve"> study only take</w:t>
      </w:r>
      <w:r w:rsidR="0081648B">
        <w:rPr>
          <w:rFonts w:ascii="Times New Roman" w:hAnsi="Times New Roman"/>
          <w:szCs w:val="28"/>
        </w:rPr>
        <w:t>s</w:t>
      </w:r>
      <w:r w:rsidRPr="008F04D3">
        <w:rPr>
          <w:rFonts w:ascii="Times New Roman" w:hAnsi="Times New Roman"/>
          <w:szCs w:val="28"/>
        </w:rPr>
        <w:t xml:space="preserve"> MBL from the large number of commercial banks.</w:t>
      </w:r>
      <w:r w:rsidR="0071544E" w:rsidRPr="008F04D3">
        <w:rPr>
          <w:rFonts w:ascii="Times New Roman" w:hAnsi="Times New Roman"/>
          <w:szCs w:val="28"/>
        </w:rPr>
        <w:t xml:space="preserve"> </w:t>
      </w:r>
      <w:r w:rsidRPr="008F04D3">
        <w:rPr>
          <w:rFonts w:ascii="Times New Roman" w:hAnsi="Times New Roman"/>
          <w:szCs w:val="28"/>
        </w:rPr>
        <w:t>So,</w:t>
      </w:r>
      <w:r w:rsidR="0071544E" w:rsidRPr="008F04D3">
        <w:rPr>
          <w:rFonts w:ascii="Times New Roman" w:hAnsi="Times New Roman"/>
          <w:szCs w:val="28"/>
        </w:rPr>
        <w:t xml:space="preserve"> </w:t>
      </w:r>
      <w:r w:rsidRPr="008F04D3">
        <w:rPr>
          <w:rFonts w:ascii="Times New Roman" w:hAnsi="Times New Roman"/>
          <w:szCs w:val="28"/>
        </w:rPr>
        <w:t xml:space="preserve">it </w:t>
      </w:r>
      <w:r w:rsidR="007F538D" w:rsidRPr="008F04D3">
        <w:rPr>
          <w:rFonts w:ascii="Times New Roman" w:hAnsi="Times New Roman"/>
          <w:szCs w:val="28"/>
        </w:rPr>
        <w:t>has</w:t>
      </w:r>
      <w:r w:rsidRPr="008F04D3">
        <w:rPr>
          <w:rFonts w:ascii="Times New Roman" w:hAnsi="Times New Roman"/>
          <w:szCs w:val="28"/>
        </w:rPr>
        <w:t xml:space="preserve"> not represent the overall scenario of all commercial banks.</w:t>
      </w:r>
    </w:p>
    <w:p w:rsidR="00DA4DD8" w:rsidRDefault="0060001F" w:rsidP="009957EA">
      <w:pPr>
        <w:numPr>
          <w:ilvl w:val="0"/>
          <w:numId w:val="4"/>
        </w:numPr>
        <w:tabs>
          <w:tab w:val="left" w:pos="180"/>
        </w:tabs>
        <w:spacing w:after="120" w:line="360" w:lineRule="auto"/>
        <w:jc w:val="both"/>
        <w:rPr>
          <w:rFonts w:ascii="Times New Roman" w:hAnsi="Times New Roman"/>
          <w:szCs w:val="28"/>
        </w:rPr>
      </w:pPr>
      <w:r w:rsidRPr="00FD1AA2">
        <w:rPr>
          <w:rFonts w:ascii="Times New Roman" w:hAnsi="Times New Roman"/>
          <w:szCs w:val="28"/>
        </w:rPr>
        <w:t>The qualitative and external variable that affect the performance of the MBL have not been considered in the study.</w:t>
      </w:r>
    </w:p>
    <w:p w:rsidR="00036239" w:rsidRPr="008C0E1D" w:rsidRDefault="00036239" w:rsidP="00036239">
      <w:pPr>
        <w:tabs>
          <w:tab w:val="left" w:pos="180"/>
        </w:tabs>
        <w:spacing w:after="120" w:line="360" w:lineRule="auto"/>
        <w:jc w:val="both"/>
        <w:rPr>
          <w:rFonts w:ascii="Times New Roman" w:hAnsi="Times New Roman"/>
          <w:b/>
          <w:sz w:val="28"/>
          <w:szCs w:val="28"/>
        </w:rPr>
      </w:pPr>
      <w:r w:rsidRPr="008C0E1D">
        <w:rPr>
          <w:rFonts w:ascii="Times New Roman" w:hAnsi="Times New Roman"/>
          <w:b/>
          <w:sz w:val="28"/>
          <w:szCs w:val="28"/>
        </w:rPr>
        <w:lastRenderedPageBreak/>
        <w:t>1.7</w:t>
      </w:r>
      <w:r w:rsidRPr="008C0E1D">
        <w:rPr>
          <w:rFonts w:ascii="Times New Roman" w:hAnsi="Times New Roman"/>
          <w:b/>
          <w:sz w:val="28"/>
          <w:szCs w:val="28"/>
        </w:rPr>
        <w:tab/>
        <w:t xml:space="preserve">Organization of the Study </w:t>
      </w:r>
    </w:p>
    <w:p w:rsidR="000508F9" w:rsidRPr="000508F9" w:rsidRDefault="000508F9" w:rsidP="000508F9">
      <w:pPr>
        <w:spacing w:before="120" w:after="120" w:line="360" w:lineRule="auto"/>
        <w:jc w:val="both"/>
        <w:rPr>
          <w:rFonts w:ascii="Times New Roman" w:hAnsi="Times New Roman"/>
          <w:szCs w:val="28"/>
        </w:rPr>
      </w:pPr>
      <w:r w:rsidRPr="000508F9">
        <w:rPr>
          <w:rFonts w:ascii="Times New Roman" w:hAnsi="Times New Roman"/>
          <w:szCs w:val="28"/>
        </w:rPr>
        <w:t xml:space="preserve">This study </w:t>
      </w:r>
      <w:r w:rsidR="00A52258">
        <w:rPr>
          <w:rFonts w:ascii="Times New Roman" w:hAnsi="Times New Roman"/>
          <w:szCs w:val="28"/>
        </w:rPr>
        <w:t>has been</w:t>
      </w:r>
      <w:r w:rsidRPr="000508F9">
        <w:rPr>
          <w:rFonts w:ascii="Times New Roman" w:hAnsi="Times New Roman"/>
          <w:szCs w:val="28"/>
        </w:rPr>
        <w:t xml:space="preserve"> divided into five chapters.</w:t>
      </w:r>
    </w:p>
    <w:p w:rsidR="000508F9" w:rsidRPr="000508F9" w:rsidRDefault="000508F9" w:rsidP="000508F9">
      <w:pPr>
        <w:spacing w:before="120" w:after="120" w:line="360" w:lineRule="auto"/>
        <w:jc w:val="both"/>
        <w:rPr>
          <w:rFonts w:ascii="Times New Roman" w:hAnsi="Times New Roman"/>
          <w:b/>
          <w:szCs w:val="28"/>
        </w:rPr>
      </w:pPr>
      <w:r w:rsidRPr="000508F9">
        <w:rPr>
          <w:rFonts w:ascii="Times New Roman" w:hAnsi="Times New Roman"/>
          <w:b/>
          <w:szCs w:val="28"/>
        </w:rPr>
        <w:t>Chapter 1: Introduction</w:t>
      </w:r>
    </w:p>
    <w:p w:rsidR="000508F9" w:rsidRPr="000508F9" w:rsidRDefault="000508F9" w:rsidP="000508F9">
      <w:pPr>
        <w:spacing w:before="120" w:after="120" w:line="360" w:lineRule="auto"/>
        <w:jc w:val="both"/>
        <w:rPr>
          <w:rFonts w:ascii="Times New Roman" w:hAnsi="Times New Roman"/>
          <w:sz w:val="20"/>
          <w:szCs w:val="28"/>
        </w:rPr>
      </w:pPr>
      <w:r w:rsidRPr="000508F9">
        <w:rPr>
          <w:rFonts w:ascii="Times New Roman" w:hAnsi="Times New Roman"/>
        </w:rPr>
        <w:t>It deals with introduction of the main topic of the study like general background, statement of the problems, objective of the study and organization of the study and other introductory framework</w:t>
      </w:r>
      <w:r w:rsidRPr="000508F9">
        <w:rPr>
          <w:rFonts w:ascii="Times New Roman" w:hAnsi="Times New Roman"/>
          <w:sz w:val="20"/>
          <w:szCs w:val="28"/>
        </w:rPr>
        <w:t>.</w:t>
      </w:r>
    </w:p>
    <w:p w:rsidR="000508F9" w:rsidRPr="000508F9" w:rsidRDefault="00F77316" w:rsidP="000508F9">
      <w:pPr>
        <w:spacing w:before="120" w:after="120" w:line="360" w:lineRule="auto"/>
        <w:jc w:val="both"/>
        <w:rPr>
          <w:rFonts w:ascii="Times New Roman" w:hAnsi="Times New Roman"/>
          <w:b/>
          <w:szCs w:val="28"/>
        </w:rPr>
      </w:pPr>
      <w:r>
        <w:rPr>
          <w:rFonts w:ascii="Times New Roman" w:hAnsi="Times New Roman"/>
          <w:b/>
          <w:szCs w:val="28"/>
        </w:rPr>
        <w:t>Chapter 2: Review of L</w:t>
      </w:r>
      <w:r w:rsidR="000508F9" w:rsidRPr="000508F9">
        <w:rPr>
          <w:rFonts w:ascii="Times New Roman" w:hAnsi="Times New Roman"/>
          <w:b/>
          <w:szCs w:val="28"/>
        </w:rPr>
        <w:t>iterature</w:t>
      </w:r>
    </w:p>
    <w:p w:rsidR="000508F9" w:rsidRPr="000508F9" w:rsidRDefault="000508F9" w:rsidP="000508F9">
      <w:pPr>
        <w:spacing w:before="120" w:after="120" w:line="360" w:lineRule="auto"/>
        <w:jc w:val="both"/>
        <w:rPr>
          <w:rFonts w:ascii="Times New Roman" w:hAnsi="Times New Roman"/>
        </w:rPr>
      </w:pPr>
      <w:r w:rsidRPr="000508F9">
        <w:rPr>
          <w:rFonts w:ascii="Times New Roman" w:hAnsi="Times New Roman"/>
        </w:rPr>
        <w:t xml:space="preserve">It includes with the review of available relevant studies. It includes the conceptual review of the related books, journals, articles and the published and unpublished research works as well as thesis. </w:t>
      </w:r>
    </w:p>
    <w:p w:rsidR="000508F9" w:rsidRPr="000508F9" w:rsidRDefault="000508F9" w:rsidP="000508F9">
      <w:pPr>
        <w:spacing w:before="120" w:after="120" w:line="360" w:lineRule="auto"/>
        <w:jc w:val="both"/>
        <w:rPr>
          <w:rFonts w:ascii="Times New Roman" w:hAnsi="Times New Roman"/>
          <w:b/>
          <w:szCs w:val="28"/>
        </w:rPr>
      </w:pPr>
      <w:r w:rsidRPr="000508F9">
        <w:rPr>
          <w:rFonts w:ascii="Times New Roman" w:hAnsi="Times New Roman"/>
          <w:b/>
          <w:szCs w:val="28"/>
        </w:rPr>
        <w:t xml:space="preserve">Chapter 3:  Research </w:t>
      </w:r>
      <w:r w:rsidR="00F77316">
        <w:rPr>
          <w:rFonts w:ascii="Times New Roman" w:hAnsi="Times New Roman"/>
          <w:b/>
          <w:szCs w:val="28"/>
        </w:rPr>
        <w:t>M</w:t>
      </w:r>
      <w:r w:rsidRPr="000508F9">
        <w:rPr>
          <w:rFonts w:ascii="Times New Roman" w:hAnsi="Times New Roman"/>
          <w:b/>
          <w:szCs w:val="28"/>
        </w:rPr>
        <w:t>ethodology</w:t>
      </w:r>
    </w:p>
    <w:p w:rsidR="000508F9" w:rsidRPr="000508F9" w:rsidRDefault="000508F9" w:rsidP="000508F9">
      <w:pPr>
        <w:spacing w:before="120" w:after="120" w:line="360" w:lineRule="auto"/>
        <w:jc w:val="both"/>
        <w:rPr>
          <w:rFonts w:ascii="Times New Roman" w:hAnsi="Times New Roman"/>
        </w:rPr>
      </w:pPr>
      <w:r w:rsidRPr="000508F9">
        <w:rPr>
          <w:rFonts w:ascii="Times New Roman" w:hAnsi="Times New Roman"/>
        </w:rPr>
        <w:t>It describes research methodology employed in this study i.e. research carried out in this size and shape. For the purpose various financial and statistical tools and techniques are defined which is used for the analysis of the presented data.</w:t>
      </w:r>
    </w:p>
    <w:p w:rsidR="000508F9" w:rsidRPr="000508F9" w:rsidRDefault="000508F9" w:rsidP="000508F9">
      <w:pPr>
        <w:spacing w:before="120" w:after="120" w:line="360" w:lineRule="auto"/>
        <w:jc w:val="both"/>
        <w:rPr>
          <w:rFonts w:ascii="Times New Roman" w:hAnsi="Times New Roman"/>
          <w:b/>
          <w:szCs w:val="28"/>
        </w:rPr>
      </w:pPr>
      <w:r w:rsidRPr="000508F9">
        <w:rPr>
          <w:rFonts w:ascii="Times New Roman" w:hAnsi="Times New Roman"/>
          <w:b/>
          <w:szCs w:val="28"/>
        </w:rPr>
        <w:t>Chapter 4:</w:t>
      </w:r>
      <w:r w:rsidR="00F77316">
        <w:rPr>
          <w:rFonts w:ascii="Times New Roman" w:hAnsi="Times New Roman"/>
          <w:b/>
          <w:szCs w:val="28"/>
        </w:rPr>
        <w:t xml:space="preserve">  Presentation and Analysis of D</w:t>
      </w:r>
      <w:r w:rsidRPr="000508F9">
        <w:rPr>
          <w:rFonts w:ascii="Times New Roman" w:hAnsi="Times New Roman"/>
          <w:b/>
          <w:szCs w:val="28"/>
        </w:rPr>
        <w:t>ata</w:t>
      </w:r>
    </w:p>
    <w:p w:rsidR="000508F9" w:rsidRPr="000508F9" w:rsidRDefault="000508F9" w:rsidP="000508F9">
      <w:pPr>
        <w:spacing w:before="120" w:after="120" w:line="360" w:lineRule="auto"/>
        <w:jc w:val="both"/>
        <w:rPr>
          <w:rFonts w:ascii="Times New Roman" w:hAnsi="Times New Roman"/>
          <w:szCs w:val="28"/>
        </w:rPr>
      </w:pPr>
      <w:r w:rsidRPr="000508F9">
        <w:rPr>
          <w:rFonts w:ascii="Times New Roman" w:hAnsi="Times New Roman"/>
          <w:szCs w:val="28"/>
        </w:rPr>
        <w:t>This chapter is the major part of the whole study in which all collected relevant data are analyzed and interpreted by the help of different financial &amp; statistical tools. In this chapter we explained the major findings of the study.</w:t>
      </w:r>
    </w:p>
    <w:p w:rsidR="000508F9" w:rsidRPr="000508F9" w:rsidRDefault="000508F9" w:rsidP="000508F9">
      <w:pPr>
        <w:spacing w:before="120" w:after="120" w:line="360" w:lineRule="auto"/>
        <w:jc w:val="both"/>
        <w:rPr>
          <w:rFonts w:ascii="Times New Roman" w:hAnsi="Times New Roman"/>
          <w:b/>
          <w:szCs w:val="28"/>
        </w:rPr>
      </w:pPr>
      <w:r w:rsidRPr="000508F9">
        <w:rPr>
          <w:rFonts w:ascii="Times New Roman" w:hAnsi="Times New Roman"/>
          <w:b/>
          <w:szCs w:val="28"/>
        </w:rPr>
        <w:t>Chapter 5:  Summary, Conclusion and Recommendation</w:t>
      </w:r>
    </w:p>
    <w:p w:rsidR="000508F9" w:rsidRPr="000508F9" w:rsidRDefault="000508F9" w:rsidP="000508F9">
      <w:pPr>
        <w:spacing w:before="120" w:after="120" w:line="360" w:lineRule="auto"/>
        <w:jc w:val="both"/>
        <w:rPr>
          <w:rFonts w:ascii="Times New Roman" w:hAnsi="Times New Roman"/>
          <w:szCs w:val="28"/>
        </w:rPr>
      </w:pPr>
      <w:r w:rsidRPr="000508F9">
        <w:rPr>
          <w:rFonts w:ascii="Times New Roman" w:hAnsi="Times New Roman"/>
          <w:szCs w:val="28"/>
        </w:rPr>
        <w:t>It contains the summary of the study, conclusion recommendation and suggestion on the basis of the study.</w:t>
      </w:r>
    </w:p>
    <w:p w:rsidR="00ED3AF0" w:rsidRPr="000508F9" w:rsidRDefault="00ED3AF0" w:rsidP="00036239">
      <w:pPr>
        <w:tabs>
          <w:tab w:val="left" w:pos="180"/>
        </w:tabs>
        <w:spacing w:after="120" w:line="360" w:lineRule="auto"/>
        <w:jc w:val="both"/>
        <w:rPr>
          <w:rFonts w:ascii="Times New Roman" w:hAnsi="Times New Roman"/>
          <w:b/>
          <w:szCs w:val="28"/>
        </w:rPr>
      </w:pPr>
    </w:p>
    <w:p w:rsidR="000508F9" w:rsidRDefault="000508F9">
      <w:pPr>
        <w:spacing w:after="200" w:line="276" w:lineRule="auto"/>
        <w:rPr>
          <w:rFonts w:ascii="Times New Roman" w:hAnsi="Times New Roman"/>
          <w:b/>
          <w:sz w:val="32"/>
          <w:szCs w:val="28"/>
        </w:rPr>
      </w:pPr>
      <w:r>
        <w:rPr>
          <w:rFonts w:ascii="Times New Roman" w:hAnsi="Times New Roman"/>
          <w:b/>
          <w:sz w:val="32"/>
          <w:szCs w:val="28"/>
        </w:rPr>
        <w:br w:type="page"/>
      </w:r>
    </w:p>
    <w:p w:rsidR="00452A58" w:rsidRDefault="00DA4DD8" w:rsidP="00452A58">
      <w:pPr>
        <w:tabs>
          <w:tab w:val="left" w:pos="2660"/>
          <w:tab w:val="center" w:pos="2880"/>
        </w:tabs>
        <w:spacing w:after="240" w:line="360" w:lineRule="auto"/>
        <w:jc w:val="center"/>
        <w:rPr>
          <w:rFonts w:ascii="Times New Roman" w:hAnsi="Times New Roman"/>
          <w:b/>
          <w:sz w:val="32"/>
          <w:szCs w:val="28"/>
        </w:rPr>
      </w:pPr>
      <w:r w:rsidRPr="00E44D48">
        <w:rPr>
          <w:rFonts w:ascii="Times New Roman" w:hAnsi="Times New Roman"/>
          <w:b/>
          <w:sz w:val="32"/>
          <w:szCs w:val="28"/>
        </w:rPr>
        <w:lastRenderedPageBreak/>
        <w:t>CHAPTER-II</w:t>
      </w:r>
    </w:p>
    <w:p w:rsidR="00DA4DD8" w:rsidRPr="00FD1AA2" w:rsidRDefault="00DA4DD8" w:rsidP="00452A58">
      <w:pPr>
        <w:tabs>
          <w:tab w:val="left" w:pos="2660"/>
          <w:tab w:val="center" w:pos="2880"/>
        </w:tabs>
        <w:spacing w:after="240" w:line="360" w:lineRule="auto"/>
        <w:jc w:val="center"/>
        <w:rPr>
          <w:rFonts w:ascii="Times New Roman" w:hAnsi="Times New Roman"/>
          <w:b/>
          <w:sz w:val="32"/>
          <w:szCs w:val="32"/>
        </w:rPr>
      </w:pPr>
      <w:r w:rsidRPr="00FD1AA2">
        <w:rPr>
          <w:rFonts w:ascii="Times New Roman" w:hAnsi="Times New Roman"/>
          <w:b/>
          <w:sz w:val="32"/>
          <w:szCs w:val="32"/>
        </w:rPr>
        <w:t>REVIEW OF LITERATURE</w:t>
      </w:r>
    </w:p>
    <w:p w:rsidR="00DA4DD8" w:rsidRPr="00FD1AA2" w:rsidRDefault="00DA4DD8" w:rsidP="00FD1AA2">
      <w:pPr>
        <w:spacing w:after="240" w:line="360" w:lineRule="auto"/>
        <w:ind w:firstLine="360"/>
        <w:jc w:val="both"/>
        <w:rPr>
          <w:rFonts w:ascii="Times New Roman" w:hAnsi="Times New Roman"/>
        </w:rPr>
      </w:pPr>
    </w:p>
    <w:p w:rsidR="00DA4DD8" w:rsidRPr="00466B49" w:rsidRDefault="00DA4DD8" w:rsidP="00FD1AA2">
      <w:pPr>
        <w:spacing w:after="240" w:line="360" w:lineRule="auto"/>
        <w:jc w:val="both"/>
        <w:rPr>
          <w:rFonts w:ascii="Times New Roman" w:hAnsi="Times New Roman"/>
          <w:b/>
          <w:sz w:val="28"/>
        </w:rPr>
      </w:pPr>
      <w:r w:rsidRPr="00466B49">
        <w:rPr>
          <w:rFonts w:ascii="Times New Roman" w:hAnsi="Times New Roman"/>
          <w:b/>
          <w:sz w:val="28"/>
        </w:rPr>
        <w:t xml:space="preserve">2.1 </w:t>
      </w:r>
      <w:r w:rsidRPr="00466B49">
        <w:rPr>
          <w:rFonts w:ascii="Times New Roman" w:hAnsi="Times New Roman"/>
          <w:b/>
          <w:sz w:val="28"/>
        </w:rPr>
        <w:tab/>
        <w:t>Conceptual Review</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 xml:space="preserve">Conceptual Review is important for every study that provides clear concept on subject matter for the study. This </w:t>
      </w:r>
      <w:r w:rsidR="00A3096E">
        <w:rPr>
          <w:rFonts w:ascii="Times New Roman" w:hAnsi="Times New Roman"/>
        </w:rPr>
        <w:t>c</w:t>
      </w:r>
      <w:r w:rsidRPr="00F578A3">
        <w:rPr>
          <w:rFonts w:ascii="Times New Roman" w:hAnsi="Times New Roman"/>
        </w:rPr>
        <w:t xml:space="preserve">hapter confines to conceptual </w:t>
      </w:r>
      <w:r w:rsidR="00A3096E">
        <w:rPr>
          <w:rFonts w:ascii="Times New Roman" w:hAnsi="Times New Roman"/>
        </w:rPr>
        <w:t>r</w:t>
      </w:r>
      <w:r w:rsidRPr="00F578A3">
        <w:rPr>
          <w:rFonts w:ascii="Times New Roman" w:hAnsi="Times New Roman"/>
        </w:rPr>
        <w:t>eview o</w:t>
      </w:r>
      <w:r w:rsidR="00A3096E">
        <w:rPr>
          <w:rFonts w:ascii="Times New Roman" w:hAnsi="Times New Roman"/>
        </w:rPr>
        <w:t>f research and work papers and r</w:t>
      </w:r>
      <w:r w:rsidRPr="00F578A3">
        <w:rPr>
          <w:rFonts w:ascii="Times New Roman" w:hAnsi="Times New Roman"/>
        </w:rPr>
        <w:t>eview of thesis. This Chapter is focused on brief discussion about the abstract regarding the CAMEL Analysis.</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The purpose of the review of literature is to develop some expertise in ones area, to see what new contribution can be made and to receive some ideas for developing research design. Thus, the previous studies cannot be ignored because they provide the foundation to the present study. From, this it is clear that the purpose of literature review is to find out what researcher studies have been conducted in ones chosen field of study and what remains to be done.</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The review of literature is crucial aspect because it denotes planning of the study. The main purpose of literature review is to find out what works have been done in the area of the research problem understudy being undertaken. For review study, the researcher uses different books, reports, journals and research studies published by various institutions, unpublished thesis submitted by master level students have been reviewed.</w:t>
      </w:r>
    </w:p>
    <w:p w:rsidR="00DA4DD8" w:rsidRPr="00466B49" w:rsidRDefault="00DA4DD8" w:rsidP="00FD1AA2">
      <w:pPr>
        <w:spacing w:after="240" w:line="360" w:lineRule="auto"/>
        <w:jc w:val="both"/>
        <w:rPr>
          <w:rFonts w:ascii="Times New Roman" w:hAnsi="Times New Roman"/>
          <w:b/>
          <w:sz w:val="28"/>
        </w:rPr>
      </w:pPr>
      <w:r w:rsidRPr="00466B49">
        <w:rPr>
          <w:rFonts w:ascii="Times New Roman" w:hAnsi="Times New Roman"/>
          <w:b/>
          <w:sz w:val="28"/>
        </w:rPr>
        <w:t>2.1</w:t>
      </w:r>
      <w:r w:rsidR="00F578A3" w:rsidRPr="00466B49">
        <w:rPr>
          <w:rFonts w:ascii="Times New Roman" w:hAnsi="Times New Roman"/>
          <w:b/>
          <w:sz w:val="28"/>
        </w:rPr>
        <w:t>.</w:t>
      </w:r>
      <w:r w:rsidRPr="00466B49">
        <w:rPr>
          <w:rFonts w:ascii="Times New Roman" w:hAnsi="Times New Roman"/>
          <w:b/>
          <w:sz w:val="28"/>
        </w:rPr>
        <w:t xml:space="preserve">1 </w:t>
      </w:r>
      <w:r w:rsidR="00F578A3" w:rsidRPr="00466B49">
        <w:rPr>
          <w:rFonts w:ascii="Times New Roman" w:hAnsi="Times New Roman"/>
          <w:b/>
          <w:sz w:val="28"/>
        </w:rPr>
        <w:tab/>
      </w:r>
      <w:r w:rsidR="00AD71CB" w:rsidRPr="00466B49">
        <w:rPr>
          <w:rFonts w:ascii="Times New Roman" w:hAnsi="Times New Roman"/>
          <w:b/>
          <w:sz w:val="28"/>
        </w:rPr>
        <w:t>Machhapuchhre</w:t>
      </w:r>
      <w:r w:rsidRPr="00466B49">
        <w:rPr>
          <w:rFonts w:ascii="Times New Roman" w:hAnsi="Times New Roman"/>
          <w:b/>
          <w:sz w:val="28"/>
        </w:rPr>
        <w:t xml:space="preserve"> Bank Ltd.</w:t>
      </w:r>
    </w:p>
    <w:p w:rsidR="00DA4DD8" w:rsidRPr="00F578A3" w:rsidRDefault="00AB51C1" w:rsidP="00FD1AA2">
      <w:pPr>
        <w:spacing w:after="240" w:line="360" w:lineRule="auto"/>
        <w:jc w:val="both"/>
        <w:rPr>
          <w:rFonts w:ascii="Times New Roman" w:hAnsi="Times New Roman"/>
        </w:rPr>
      </w:pPr>
      <w:r>
        <w:rPr>
          <w:rFonts w:ascii="Times New Roman" w:hAnsi="Times New Roman"/>
          <w:noProof/>
          <w:lang w:bidi="ar-SA"/>
        </w:rPr>
        <w:pict>
          <v:shape id="_x0000_s1046" type="#_x0000_t202" style="position:absolute;left:0;text-align:left;margin-left:171pt;margin-top:126.5pt;width:66pt;height:32.25pt;z-index:251664384" stroked="f">
            <v:textbox>
              <w:txbxContent>
                <w:p w:rsidR="008C0E1D" w:rsidRDefault="008C0E1D"/>
              </w:txbxContent>
            </v:textbox>
          </v:shape>
        </w:pict>
      </w:r>
      <w:r w:rsidR="00AD71CB">
        <w:rPr>
          <w:rFonts w:ascii="Times New Roman" w:hAnsi="Times New Roman"/>
        </w:rPr>
        <w:t>Machhapuchhre</w:t>
      </w:r>
      <w:r w:rsidR="00DA4DD8" w:rsidRPr="00F578A3">
        <w:rPr>
          <w:rFonts w:ascii="Times New Roman" w:hAnsi="Times New Roman"/>
        </w:rPr>
        <w:t xml:space="preserve"> bank ltd was registered in 1998 as the first regional commercial bank to start banking business from the western region of Nepal with its head office in Pokhara. Today, with a paid up capital of above 1627 million rupees, it is one of the full fledged commercial bank operating in Nepal and it ranks in the top most among the private commercial banks.</w:t>
      </w:r>
    </w:p>
    <w:p w:rsidR="00DA4DD8" w:rsidRPr="00F578A3" w:rsidRDefault="00AD71CB" w:rsidP="00FD1AA2">
      <w:pPr>
        <w:spacing w:after="240" w:line="360" w:lineRule="auto"/>
        <w:jc w:val="both"/>
        <w:rPr>
          <w:rFonts w:ascii="Times New Roman" w:hAnsi="Times New Roman"/>
        </w:rPr>
      </w:pPr>
      <w:r>
        <w:rPr>
          <w:rFonts w:ascii="Times New Roman" w:hAnsi="Times New Roman"/>
        </w:rPr>
        <w:lastRenderedPageBreak/>
        <w:t>Machhapuchhre</w:t>
      </w:r>
      <w:r w:rsidR="00DA4DD8" w:rsidRPr="00F578A3">
        <w:rPr>
          <w:rFonts w:ascii="Times New Roman" w:hAnsi="Times New Roman"/>
        </w:rPr>
        <w:t xml:space="preserve"> bank ltd is striving to facilitate its customer needs by delivering the of services in combination with the state of the art technologies and best international practices. </w:t>
      </w:r>
      <w:r>
        <w:rPr>
          <w:rFonts w:ascii="Times New Roman" w:hAnsi="Times New Roman"/>
        </w:rPr>
        <w:t>Machhapuchhre</w:t>
      </w:r>
      <w:r w:rsidR="00DA4DD8" w:rsidRPr="00F578A3">
        <w:rPr>
          <w:rFonts w:ascii="Times New Roman" w:hAnsi="Times New Roman"/>
        </w:rPr>
        <w:t xml:space="preserve"> bank ltd is the pioneer in introducing the latest technology in the banking industry in the country. It is the first bank in Nepal to introduce centralized banking software named GLOBUS BANKING SYSTEM developed by Temenos NV, Switzerland. Currently it is using the latest version of GLOBUS, referred as T-24 BANKING SYSTEM. The bank provide modern banking facilities such as Any Branch Banking, Internet Banking and Mobile Banking to its va</w:t>
      </w:r>
      <w:r w:rsidR="00707565">
        <w:rPr>
          <w:rFonts w:ascii="Times New Roman" w:hAnsi="Times New Roman"/>
        </w:rPr>
        <w:t>lued customers</w:t>
      </w:r>
      <w:r w:rsidR="008F7DE9">
        <w:rPr>
          <w:rFonts w:ascii="Times New Roman" w:hAnsi="Times New Roman"/>
        </w:rPr>
        <w:t xml:space="preserve"> (www.machbank.com</w:t>
      </w:r>
      <w:r w:rsidR="00C6103C">
        <w:rPr>
          <w:rFonts w:ascii="Times New Roman" w:hAnsi="Times New Roman"/>
        </w:rPr>
        <w:t>)</w:t>
      </w:r>
      <w:r w:rsidR="00707565">
        <w:rPr>
          <w:rFonts w:ascii="Times New Roman" w:hAnsi="Times New Roman"/>
        </w:rPr>
        <w:t>.</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The bank in the last few years have really opened up with branches spread all around the country. At this stage, it has its corporate Office in Kathmandu and branch office in other parts of Kathmandu, Damauli, Bhairahawa, Birgung, Banepa and different part of Pokhara in addition to the head office in Naya Bazar, Pokhara. A full-fledged banking branch is in operation in Jomsom of located high up in the mountains too. The bank aim to serve the people of both the urban and rural areas.</w:t>
      </w:r>
    </w:p>
    <w:p w:rsidR="000F1FAD" w:rsidRDefault="000F1FAD" w:rsidP="000F1FAD">
      <w:pPr>
        <w:spacing w:after="240" w:line="360" w:lineRule="auto"/>
        <w:jc w:val="center"/>
        <w:rPr>
          <w:rFonts w:ascii="Times New Roman" w:hAnsi="Times New Roman"/>
          <w:b/>
        </w:rPr>
      </w:pPr>
      <w:r>
        <w:rPr>
          <w:rFonts w:ascii="Times New Roman" w:hAnsi="Times New Roman"/>
          <w:b/>
        </w:rPr>
        <w:t>Table</w:t>
      </w:r>
      <w:r w:rsidR="008F7DE9">
        <w:rPr>
          <w:rFonts w:ascii="Times New Roman" w:hAnsi="Times New Roman"/>
          <w:b/>
        </w:rPr>
        <w:t xml:space="preserve"> :</w:t>
      </w:r>
      <w:r>
        <w:rPr>
          <w:rFonts w:ascii="Times New Roman" w:hAnsi="Times New Roman"/>
          <w:b/>
        </w:rPr>
        <w:t xml:space="preserve"> 2.1</w:t>
      </w:r>
    </w:p>
    <w:p w:rsidR="00DA4DD8" w:rsidRPr="00F578A3" w:rsidRDefault="00DA4DD8" w:rsidP="000F1FAD">
      <w:pPr>
        <w:spacing w:after="240" w:line="360" w:lineRule="auto"/>
        <w:jc w:val="center"/>
        <w:rPr>
          <w:rFonts w:ascii="Times New Roman" w:hAnsi="Times New Roman"/>
          <w:b/>
        </w:rPr>
      </w:pPr>
      <w:r w:rsidRPr="00F578A3">
        <w:rPr>
          <w:rFonts w:ascii="Times New Roman" w:hAnsi="Times New Roman"/>
          <w:b/>
        </w:rPr>
        <w:t>Capital Structure of MBL</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254"/>
        <w:gridCol w:w="4271"/>
      </w:tblGrid>
      <w:tr w:rsidR="00DA4DD8" w:rsidRPr="00F578A3" w:rsidTr="00DA4DD8">
        <w:tc>
          <w:tcPr>
            <w:tcW w:w="4441" w:type="dxa"/>
          </w:tcPr>
          <w:p w:rsidR="00DA4DD8" w:rsidRPr="00F578A3" w:rsidRDefault="00833A38" w:rsidP="00D6075C">
            <w:pPr>
              <w:spacing w:line="360" w:lineRule="auto"/>
              <w:jc w:val="both"/>
              <w:rPr>
                <w:rFonts w:ascii="Times New Roman" w:hAnsi="Times New Roman"/>
              </w:rPr>
            </w:pPr>
            <w:r w:rsidRPr="00F578A3">
              <w:rPr>
                <w:rFonts w:ascii="Times New Roman" w:hAnsi="Times New Roman"/>
              </w:rPr>
              <w:t>Authorized</w:t>
            </w:r>
            <w:r w:rsidR="00DA4DD8" w:rsidRPr="00F578A3">
              <w:rPr>
                <w:rFonts w:ascii="Times New Roman" w:hAnsi="Times New Roman"/>
              </w:rPr>
              <w:t xml:space="preserve"> Capital</w:t>
            </w:r>
          </w:p>
        </w:tc>
        <w:tc>
          <w:tcPr>
            <w:tcW w:w="4441" w:type="dxa"/>
          </w:tcPr>
          <w:p w:rsidR="00DA4DD8" w:rsidRPr="00F578A3" w:rsidRDefault="00DA4DD8" w:rsidP="00D6075C">
            <w:pPr>
              <w:spacing w:line="360" w:lineRule="auto"/>
              <w:jc w:val="both"/>
              <w:rPr>
                <w:rFonts w:ascii="Times New Roman" w:hAnsi="Times New Roman"/>
              </w:rPr>
            </w:pPr>
            <w:r w:rsidRPr="00F578A3">
              <w:rPr>
                <w:rFonts w:ascii="Times New Roman" w:hAnsi="Times New Roman"/>
              </w:rPr>
              <w:t>2,000,000,000</w:t>
            </w:r>
          </w:p>
        </w:tc>
      </w:tr>
      <w:tr w:rsidR="00DA4DD8" w:rsidRPr="00F578A3" w:rsidTr="00DA4DD8">
        <w:tc>
          <w:tcPr>
            <w:tcW w:w="4441" w:type="dxa"/>
          </w:tcPr>
          <w:p w:rsidR="00DA4DD8" w:rsidRPr="00F578A3" w:rsidRDefault="00DA4DD8" w:rsidP="00D6075C">
            <w:pPr>
              <w:spacing w:line="360" w:lineRule="auto"/>
              <w:jc w:val="both"/>
              <w:rPr>
                <w:rFonts w:ascii="Times New Roman" w:hAnsi="Times New Roman"/>
              </w:rPr>
            </w:pPr>
            <w:r w:rsidRPr="00F578A3">
              <w:rPr>
                <w:rFonts w:ascii="Times New Roman" w:hAnsi="Times New Roman"/>
              </w:rPr>
              <w:t>Issued Capital</w:t>
            </w:r>
          </w:p>
        </w:tc>
        <w:tc>
          <w:tcPr>
            <w:tcW w:w="4441" w:type="dxa"/>
          </w:tcPr>
          <w:p w:rsidR="00DA4DD8" w:rsidRPr="00F578A3" w:rsidRDefault="00DA4DD8" w:rsidP="00D6075C">
            <w:pPr>
              <w:spacing w:line="360" w:lineRule="auto"/>
              <w:jc w:val="both"/>
              <w:rPr>
                <w:rFonts w:ascii="Times New Roman" w:hAnsi="Times New Roman"/>
              </w:rPr>
            </w:pPr>
            <w:r w:rsidRPr="00F578A3">
              <w:rPr>
                <w:rFonts w:ascii="Times New Roman" w:hAnsi="Times New Roman"/>
              </w:rPr>
              <w:t>1,479,269,600</w:t>
            </w:r>
          </w:p>
        </w:tc>
      </w:tr>
      <w:tr w:rsidR="00DA4DD8" w:rsidRPr="00F578A3" w:rsidTr="00DA4DD8">
        <w:tc>
          <w:tcPr>
            <w:tcW w:w="4441" w:type="dxa"/>
          </w:tcPr>
          <w:p w:rsidR="00DA4DD8" w:rsidRPr="00F578A3" w:rsidRDefault="00DA4DD8" w:rsidP="00D6075C">
            <w:pPr>
              <w:spacing w:line="360" w:lineRule="auto"/>
              <w:jc w:val="both"/>
              <w:rPr>
                <w:rFonts w:ascii="Times New Roman" w:hAnsi="Times New Roman"/>
              </w:rPr>
            </w:pPr>
            <w:r w:rsidRPr="00F578A3">
              <w:rPr>
                <w:rFonts w:ascii="Times New Roman" w:hAnsi="Times New Roman"/>
              </w:rPr>
              <w:t>Paid up Capital</w:t>
            </w:r>
          </w:p>
        </w:tc>
        <w:tc>
          <w:tcPr>
            <w:tcW w:w="4441" w:type="dxa"/>
          </w:tcPr>
          <w:p w:rsidR="00DA4DD8" w:rsidRPr="00F578A3" w:rsidRDefault="00DA4DD8" w:rsidP="00D6075C">
            <w:pPr>
              <w:spacing w:line="360" w:lineRule="auto"/>
              <w:jc w:val="both"/>
              <w:rPr>
                <w:rFonts w:ascii="Times New Roman" w:hAnsi="Times New Roman"/>
              </w:rPr>
            </w:pPr>
            <w:r w:rsidRPr="00F578A3">
              <w:rPr>
                <w:rFonts w:ascii="Times New Roman" w:hAnsi="Times New Roman"/>
              </w:rPr>
              <w:t>1,479,269,600</w:t>
            </w:r>
          </w:p>
        </w:tc>
      </w:tr>
    </w:tbl>
    <w:p w:rsidR="00DA4DD8" w:rsidRPr="002C2C0F" w:rsidRDefault="004D4CD8" w:rsidP="00FD1AA2">
      <w:pPr>
        <w:spacing w:after="240" w:line="360" w:lineRule="auto"/>
        <w:jc w:val="both"/>
        <w:rPr>
          <w:rFonts w:ascii="Times New Roman" w:hAnsi="Times New Roman"/>
          <w:i/>
        </w:rPr>
      </w:pPr>
      <w:r w:rsidRPr="002C2C0F">
        <w:rPr>
          <w:rFonts w:ascii="Times New Roman" w:hAnsi="Times New Roman"/>
          <w:i/>
        </w:rPr>
        <w:t>Source: Annual Report of MBL</w:t>
      </w:r>
    </w:p>
    <w:p w:rsidR="00DA4DD8" w:rsidRPr="00FA0979" w:rsidRDefault="00DA4DD8" w:rsidP="00FD1AA2">
      <w:pPr>
        <w:spacing w:after="240" w:line="360" w:lineRule="auto"/>
        <w:jc w:val="both"/>
        <w:rPr>
          <w:rFonts w:ascii="Times New Roman" w:hAnsi="Times New Roman"/>
          <w:b/>
          <w:sz w:val="28"/>
        </w:rPr>
      </w:pPr>
      <w:r w:rsidRPr="00FA0979">
        <w:rPr>
          <w:rFonts w:ascii="Times New Roman" w:hAnsi="Times New Roman"/>
          <w:b/>
          <w:sz w:val="28"/>
        </w:rPr>
        <w:t>2.1.2 Financial Performance Analysis</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 xml:space="preserve">Financial performance analysis is a process of identifying the financial strength and weakness of the firm by properly establishing the relationship between item of balance sheet and the profit and loss account. It is undertaken to assess the financial strength and weakness of the firm. Financial analysis helps to make the decision making for a firm by using different financial tools. It also helps to find out the optimum Capital structure of a firm. Financial analysis uses data contended in the firm’s financial statement supplemented by the statement of cash flows. Furthermore </w:t>
      </w:r>
      <w:r w:rsidRPr="00F578A3">
        <w:rPr>
          <w:rFonts w:ascii="Times New Roman" w:hAnsi="Times New Roman"/>
        </w:rPr>
        <w:lastRenderedPageBreak/>
        <w:t>qualitative judgment about the firm’s financial performance the primary tools of financial analysis are financial ratios. Financial ratios provide a good technique for assessing financial performance.</w:t>
      </w:r>
    </w:p>
    <w:p w:rsidR="00242AAE" w:rsidRDefault="00DA4DD8" w:rsidP="00FD1AA2">
      <w:pPr>
        <w:spacing w:after="240" w:line="360" w:lineRule="auto"/>
        <w:jc w:val="both"/>
        <w:rPr>
          <w:rFonts w:ascii="Times New Roman" w:hAnsi="Times New Roman"/>
        </w:rPr>
      </w:pPr>
      <w:r w:rsidRPr="00F578A3">
        <w:rPr>
          <w:rFonts w:ascii="Times New Roman" w:hAnsi="Times New Roman"/>
        </w:rPr>
        <w:t xml:space="preserve">“Financial statement contain a wealth of information, which if properly analyzed and interpreted, can provide valuable insight’s in to firm’s performance and position” </w:t>
      </w:r>
      <w:r w:rsidRPr="002C2C0F">
        <w:rPr>
          <w:rFonts w:ascii="Times New Roman" w:hAnsi="Times New Roman"/>
        </w:rPr>
        <w:t>(Chandra; 1992:6)</w:t>
      </w:r>
      <w:r w:rsidRPr="00F578A3">
        <w:rPr>
          <w:rFonts w:ascii="Times New Roman" w:hAnsi="Times New Roman"/>
        </w:rPr>
        <w:t xml:space="preserve">. “Analysis of financial statement is of interest to lenders, investors, security analysis, managers and others. It generally begins with the calculation of set of financial ratios designed to reveal the relative strength and weakness of  a company as compares to other companies in the same industry, and to show whether the firm’s position has been improving or deteriorating over time” </w:t>
      </w:r>
      <w:r w:rsidRPr="006400DB">
        <w:rPr>
          <w:rFonts w:ascii="Times New Roman" w:hAnsi="Times New Roman"/>
        </w:rPr>
        <w:t>(western and Copeland;1991:59).</w:t>
      </w:r>
      <w:r w:rsidRPr="00F578A3">
        <w:rPr>
          <w:rFonts w:ascii="Times New Roman" w:hAnsi="Times New Roman"/>
        </w:rPr>
        <w:t xml:space="preserve"> </w:t>
      </w:r>
    </w:p>
    <w:p w:rsidR="00DA4DD8" w:rsidRPr="001E2464" w:rsidRDefault="00DA4DD8" w:rsidP="00FD1AA2">
      <w:pPr>
        <w:spacing w:after="240" w:line="360" w:lineRule="auto"/>
        <w:jc w:val="both"/>
        <w:rPr>
          <w:rFonts w:ascii="Times New Roman" w:hAnsi="Times New Roman"/>
          <w:b/>
          <w:sz w:val="28"/>
        </w:rPr>
      </w:pPr>
      <w:r w:rsidRPr="001E2464">
        <w:rPr>
          <w:rFonts w:ascii="Times New Roman" w:hAnsi="Times New Roman"/>
          <w:b/>
          <w:sz w:val="28"/>
        </w:rPr>
        <w:t xml:space="preserve">2.1.3 </w:t>
      </w:r>
      <w:r w:rsidR="00D6075C" w:rsidRPr="001E2464">
        <w:rPr>
          <w:rFonts w:ascii="Times New Roman" w:hAnsi="Times New Roman"/>
          <w:b/>
          <w:sz w:val="28"/>
        </w:rPr>
        <w:tab/>
      </w:r>
      <w:r w:rsidRPr="001E2464">
        <w:rPr>
          <w:rFonts w:ascii="Times New Roman" w:hAnsi="Times New Roman"/>
          <w:b/>
          <w:sz w:val="28"/>
        </w:rPr>
        <w:t>Concept of CAMEL Rating System</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Federal Reserve Bank of New York (1997) has defined the component of CAMEL as rating system which produces a composite rating of an institution overall condition and performance by assessing five components: Capital Adequacy, Assets Quality, Management Quality, Earning and Liquidity.</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CAMEL was originally developed by the FDIC for the purpose of determining when to schedule an on-site examination of bank</w:t>
      </w:r>
      <w:r w:rsidRPr="001E2464">
        <w:rPr>
          <w:rFonts w:ascii="Times New Roman" w:hAnsi="Times New Roman"/>
        </w:rPr>
        <w:t xml:space="preserve"> (Thomson; 1991Whalen and Thomson; 1998).</w:t>
      </w:r>
      <w:r w:rsidRPr="00F578A3">
        <w:rPr>
          <w:rFonts w:ascii="Times New Roman" w:hAnsi="Times New Roman"/>
        </w:rPr>
        <w:t xml:space="preserve"> The FFIEC is revised on January 1997, the UFIRS, which is commonly referred to as the CAMEL rating System. This system was designed by regulatory authorities to quantify the performance and the financial condition of the banks which it regulates.</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The CAMEL rating system is subjective. Benchmark for each component is provided, but they are guidelines only, and present essential foundations upon which the composite rating i</w:t>
      </w:r>
      <w:r w:rsidR="00910D6B">
        <w:rPr>
          <w:rFonts w:ascii="Times New Roman" w:hAnsi="Times New Roman"/>
        </w:rPr>
        <w:t>s based. They do not eliminate c</w:t>
      </w:r>
      <w:r w:rsidRPr="00F578A3">
        <w:rPr>
          <w:rFonts w:ascii="Times New Roman" w:hAnsi="Times New Roman"/>
        </w:rPr>
        <w:t>onsideration of other pertinent factors by the examiner. The uniform rating system provides the groundwork for necessary supervisor to be reasonably compared and help institutions supervised by all three US to be reasonably compared and evaluated. Ratings are assigned for each component in addition to the overall rating of a financial institutions financial condition. The ratings are assigned on a scale from 1 to 5.</w:t>
      </w:r>
      <w:r w:rsidR="001E2464">
        <w:rPr>
          <w:rFonts w:ascii="Times New Roman" w:hAnsi="Times New Roman"/>
        </w:rPr>
        <w:t xml:space="preserve"> </w:t>
      </w:r>
      <w:r w:rsidRPr="00F578A3">
        <w:rPr>
          <w:rFonts w:ascii="Times New Roman" w:hAnsi="Times New Roman"/>
        </w:rPr>
        <w:t xml:space="preserve">The CAMEL ratings are </w:t>
      </w:r>
      <w:r w:rsidRPr="00F578A3">
        <w:rPr>
          <w:rFonts w:ascii="Times New Roman" w:hAnsi="Times New Roman"/>
        </w:rPr>
        <w:lastRenderedPageBreak/>
        <w:t>commonly viewed as summary measures of the private supervisory information gathered by examiners regarding financial institutions overall financial conditions, although they also reflect available public information.</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The most important criteria for determining the appropriateness of FIs to act as financial intermediary are its solvency, profitability and liquidity. In this respect the BCBS of the bank of international settlements (BIS) since 1998, has recommended using capital adequacy, Assets quality, Management Quality, earning and liquidity (CAMEL) as criteria for assessing FI.</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During an on-site bank exam, supervisors gathered Private information such as details on problem loans with which to evaluate a bank’s financial condition and monitor to its compliance with laws and regulatory policies. A key product of such an exam is a supervisory rating of the banks overall condition, commonly referred to as a CAMEL rating. CAMEL system is used by three federal banking supervisors {the Federal Reserve, the FDIC, and office of the controller of the currency (OCC)} and other financial supervisory agencies to provide a convenient summary of bank condition at the time of exam. In Nepal NRB plays the supervisory role for evaluating the financial institutions and financial condition through rating the financial institutions in accordance to CAMEL is still in its initial phase.</w:t>
      </w:r>
    </w:p>
    <w:p w:rsidR="00DA4DD8" w:rsidRPr="003B663E" w:rsidRDefault="00DA4DD8" w:rsidP="00FD1AA2">
      <w:pPr>
        <w:spacing w:after="240" w:line="360" w:lineRule="auto"/>
        <w:jc w:val="both"/>
        <w:rPr>
          <w:rFonts w:ascii="Times New Roman" w:hAnsi="Times New Roman"/>
          <w:sz w:val="28"/>
        </w:rPr>
      </w:pPr>
      <w:r w:rsidRPr="003B663E">
        <w:rPr>
          <w:rFonts w:ascii="Times New Roman" w:hAnsi="Times New Roman"/>
          <w:b/>
          <w:sz w:val="28"/>
        </w:rPr>
        <w:t xml:space="preserve"> Composite Rating</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The FFIEC press release, USA (1996) describes the composite rating and defines the six components rating. According to the press release, composite ratings are based on careful evaluation of an institutions managerial, operational, financial and compliance performance. The six Components used to assess an institutions financial condition operations are capital adequacy, assets quality, management quality, earning quality and adequacy of liquidity and sensitivity to market risk. The rating scale range from 1</w:t>
      </w:r>
      <w:r w:rsidR="001717BA">
        <w:rPr>
          <w:rFonts w:ascii="Times New Roman" w:hAnsi="Times New Roman"/>
        </w:rPr>
        <w:t xml:space="preserve"> </w:t>
      </w:r>
      <w:r w:rsidRPr="00F578A3">
        <w:rPr>
          <w:rFonts w:ascii="Times New Roman" w:hAnsi="Times New Roman"/>
        </w:rPr>
        <w:t>to</w:t>
      </w:r>
      <w:r w:rsidR="001717BA">
        <w:rPr>
          <w:rFonts w:ascii="Times New Roman" w:hAnsi="Times New Roman"/>
        </w:rPr>
        <w:t xml:space="preserve"> 5 </w:t>
      </w:r>
      <w:r w:rsidRPr="00F578A3">
        <w:rPr>
          <w:rFonts w:ascii="Times New Roman" w:hAnsi="Times New Roman"/>
        </w:rPr>
        <w:t>with indicating of 1 rating: the strongest performance and risk management practices relative to the institution’s size, complexity, risk profile and the greatest supervisory concern. The composite ratings are defined in the FFIEC press release (1996) is as follows.</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b/>
        </w:rPr>
        <w:lastRenderedPageBreak/>
        <w:t>Composite 1:</w:t>
      </w:r>
      <w:r w:rsidRPr="00F578A3">
        <w:rPr>
          <w:rFonts w:ascii="Times New Roman" w:hAnsi="Times New Roman"/>
        </w:rPr>
        <w:t xml:space="preserve"> FIs in this group are every respect and generally have components rated 1 or 2. Any weaknesses are minor and can be handled in a routine manner by board of directors and management. These FIs are the most capable of withstanding the vagaries of business condition and are resistant to outside influences such as economic instability in their trade area. These FIs are substantial compliance and risk management practices relative to the institutions size, complexity and profile and give no cause for supervisory concern.</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b/>
        </w:rPr>
        <w:t xml:space="preserve">Composite 2: </w:t>
      </w:r>
      <w:r w:rsidRPr="00F578A3">
        <w:rPr>
          <w:rFonts w:ascii="Times New Roman" w:hAnsi="Times New Roman"/>
        </w:rPr>
        <w:t>FIs in this group are fundamentally sound. For a FI to receive this rating generally no component rating should be more serve than 3. Only moderate weaknesses are present and are well within the board of directors and management capabilities and willingness to correct. These FIs are in substantial compliance with laws and regulations. Overall risk management practices are satisfactory relative to the institutions size, complexity and risk profile.</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b/>
        </w:rPr>
        <w:t xml:space="preserve">Composite 3: </w:t>
      </w:r>
      <w:r w:rsidRPr="00F578A3">
        <w:rPr>
          <w:rFonts w:ascii="Times New Roman" w:hAnsi="Times New Roman"/>
        </w:rPr>
        <w:t xml:space="preserve">FIs in this group exhibit some degree of supervisory concern in one or more of the component areas. These FIs exhibit a combination of weakness that may range from moderate to server: however the magnitude of the deficiencies generally will not cause a component to be rated more severally than 4. FIs in this group generally are more vulnerable to outside influences than those institutions rated a composite 1 or 2. Additionally, These FIs may be in significant non compliance with laws and regulations. </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b/>
        </w:rPr>
        <w:t>Composite 4:</w:t>
      </w:r>
      <w:r w:rsidRPr="00F578A3">
        <w:rPr>
          <w:rFonts w:ascii="Times New Roman" w:hAnsi="Times New Roman"/>
        </w:rPr>
        <w:t xml:space="preserve"> FIs in this group generally exhibit unsound and unpracticed or condition. There are serious or financial deficiencies that result in unsatisfactory performance. The problem range from serve to critically deficient. The weakness and problems are not being satisfactorily addressed or resolved by the board of directors or management. FIs in this group generally are not capable withstanding business fluctuations. There may be significant non compliance with laws and regulations. Risk management practices are generally unacceptable relative to the institutions size, complexity and risk profile. Close supervisory is required, which means in most cases, formal enforcement action is necessary to address the problems. Institution in this group poses a risk to the deposit insurance fund. Failure in a distinct possibility if the problems and weakness are not satisfactorily addressed and resolved.</w:t>
      </w:r>
    </w:p>
    <w:p w:rsidR="00DA4DD8" w:rsidRPr="00F578A3" w:rsidRDefault="00DA4DD8" w:rsidP="00FD1AA2">
      <w:pPr>
        <w:suppressAutoHyphens/>
        <w:spacing w:after="240" w:line="360" w:lineRule="auto"/>
        <w:jc w:val="both"/>
        <w:rPr>
          <w:rFonts w:ascii="Times New Roman" w:hAnsi="Times New Roman"/>
        </w:rPr>
      </w:pPr>
      <w:r w:rsidRPr="00F578A3">
        <w:rPr>
          <w:rFonts w:ascii="Times New Roman" w:hAnsi="Times New Roman"/>
          <w:b/>
        </w:rPr>
        <w:lastRenderedPageBreak/>
        <w:t xml:space="preserve">Composite 5: </w:t>
      </w:r>
      <w:r w:rsidRPr="00F578A3">
        <w:rPr>
          <w:rFonts w:ascii="Times New Roman" w:hAnsi="Times New Roman"/>
        </w:rPr>
        <w:t>FIs in this group exhibit extremely unsafe and unsound practices or condition exhibit a critically deficient performance, often contain inadequate risk management practices relative to the institutions size; complexity and risk profile are of the greatest supervisory concern. The volume and severity of the problems are beyond management ability or willingness to the control or correct. Immediate outside financial or other assistance is needed in order for the FIs to be viable. Ongoing supervisory attention is necessary. Institution in this group poses a significant risk to the deposit insurance fund and failure is highly probable.</w:t>
      </w:r>
    </w:p>
    <w:p w:rsidR="00DA4DD8" w:rsidRPr="003B663E" w:rsidRDefault="00D6075C" w:rsidP="00FD1AA2">
      <w:pPr>
        <w:spacing w:after="240" w:line="360" w:lineRule="auto"/>
        <w:jc w:val="both"/>
        <w:rPr>
          <w:rFonts w:ascii="Times New Roman" w:hAnsi="Times New Roman"/>
          <w:b/>
          <w:sz w:val="28"/>
        </w:rPr>
      </w:pPr>
      <w:r w:rsidRPr="003B663E">
        <w:rPr>
          <w:rFonts w:ascii="Times New Roman" w:hAnsi="Times New Roman"/>
          <w:b/>
          <w:sz w:val="28"/>
        </w:rPr>
        <w:t>2.1.4</w:t>
      </w:r>
      <w:r w:rsidR="00DA4DD8" w:rsidRPr="003B663E">
        <w:rPr>
          <w:rFonts w:ascii="Times New Roman" w:hAnsi="Times New Roman"/>
          <w:b/>
          <w:sz w:val="28"/>
        </w:rPr>
        <w:t xml:space="preserve"> </w:t>
      </w:r>
      <w:r w:rsidRPr="003B663E">
        <w:rPr>
          <w:rFonts w:ascii="Times New Roman" w:hAnsi="Times New Roman"/>
          <w:b/>
          <w:sz w:val="28"/>
        </w:rPr>
        <w:tab/>
      </w:r>
      <w:r w:rsidR="00DA4DD8" w:rsidRPr="003B663E">
        <w:rPr>
          <w:rFonts w:ascii="Times New Roman" w:hAnsi="Times New Roman"/>
          <w:b/>
          <w:sz w:val="28"/>
        </w:rPr>
        <w:t>CAMEL’s Components</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The CAMEL Approach is a type of financial analysis used to evaluate the managerial performance of banks and financial institutions to determine their soundness and safeness. According to this approach, the financial and managerial performance of bank is a function of 5 elements: Capital Adequacy (C), Assets quality (A), Management Quality (M), Earning ability (E) and liquidity. The concept of financial performance and research in to its measurement is well advanced within finance and management fields. Recently a well judged technique named CAMEL rating is widely used for evaluating performance of financial institutions, especially to banks. Performance of the banking sector under CAMEL framework, which involves analysis and evaluation of five crucial dimensions of banking operations. The CAMEL Components can be described as following manner.</w:t>
      </w:r>
    </w:p>
    <w:p w:rsidR="00DA4DD8" w:rsidRPr="003B663E" w:rsidRDefault="006F5A79" w:rsidP="00FD1AA2">
      <w:pPr>
        <w:spacing w:after="240" w:line="360" w:lineRule="auto"/>
        <w:jc w:val="both"/>
        <w:rPr>
          <w:rFonts w:ascii="Times New Roman" w:hAnsi="Times New Roman"/>
          <w:b/>
          <w:sz w:val="28"/>
        </w:rPr>
      </w:pPr>
      <w:r w:rsidRPr="003B663E">
        <w:rPr>
          <w:rFonts w:ascii="Times New Roman" w:hAnsi="Times New Roman"/>
          <w:b/>
          <w:sz w:val="28"/>
        </w:rPr>
        <w:t>2.1.4</w:t>
      </w:r>
      <w:r w:rsidR="00DA4DD8" w:rsidRPr="003B663E">
        <w:rPr>
          <w:rFonts w:ascii="Times New Roman" w:hAnsi="Times New Roman"/>
          <w:b/>
          <w:sz w:val="28"/>
        </w:rPr>
        <w:t>.1 Capital Adequacy</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A capital adequacy ratio is a measure of a bank's capital. It is expressed as a percentage of a bank risk weighted credit exposures. Also known as “Capital to Risk weighted Assets Ratio (CRAR).</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Capital adequacy is measured by the ratio of capital to risk – weighted assets (CRAR).A sound capital base strengthens confidence of depositors. This ratio is used to protect depositors and promote the stability and efficiency of financial system around the world.</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lastRenderedPageBreak/>
        <w:t>Capital adequacy focuses on the total position of bank capital and protects the depositors for the potential shocks losses that banks incur. A financial institution is expected to maintain capital commensurate with the nature and extent to risks to the institution and the ability of management to identify measure, monitor and control these risks. The effect of credit, market and other risks on the institutions financial condition should be considered when evaluating the adequacy of capital. The types and quantity of risks inherent in institutions activities will determine the extent to which it may be necessary to maintain capital at levels above required regulatory minimums to properly reflect the potentially adverse consequences that these risks may have on the institutions capital. The capital adequacy of an institutions related based upon , but not limited to an assessment of the following evaluation factors.</w:t>
      </w:r>
    </w:p>
    <w:p w:rsidR="00DA4DD8" w:rsidRPr="00F578A3" w:rsidRDefault="00DA4DD8" w:rsidP="006F5A79">
      <w:pPr>
        <w:pStyle w:val="ListParagraph"/>
        <w:numPr>
          <w:ilvl w:val="0"/>
          <w:numId w:val="24"/>
        </w:numPr>
        <w:spacing w:after="120" w:line="360" w:lineRule="auto"/>
        <w:jc w:val="both"/>
        <w:rPr>
          <w:rFonts w:ascii="Times New Roman" w:hAnsi="Times New Roman"/>
        </w:rPr>
      </w:pPr>
      <w:r w:rsidRPr="00F578A3">
        <w:rPr>
          <w:rFonts w:ascii="Times New Roman" w:hAnsi="Times New Roman"/>
        </w:rPr>
        <w:t>Size of the bank.</w:t>
      </w:r>
    </w:p>
    <w:p w:rsidR="006F5A79" w:rsidRDefault="00DA4DD8" w:rsidP="006F5A79">
      <w:pPr>
        <w:pStyle w:val="ListParagraph"/>
        <w:numPr>
          <w:ilvl w:val="0"/>
          <w:numId w:val="10"/>
        </w:numPr>
        <w:spacing w:after="120" w:line="360" w:lineRule="auto"/>
        <w:jc w:val="both"/>
        <w:rPr>
          <w:rFonts w:ascii="Times New Roman" w:hAnsi="Times New Roman"/>
        </w:rPr>
      </w:pPr>
      <w:r w:rsidRPr="006F5A79">
        <w:rPr>
          <w:rFonts w:ascii="Times New Roman" w:hAnsi="Times New Roman"/>
        </w:rPr>
        <w:t>Volume of the inferior quality assets.</w:t>
      </w:r>
    </w:p>
    <w:p w:rsidR="006F5A79" w:rsidRDefault="00DA4DD8" w:rsidP="006F5A79">
      <w:pPr>
        <w:pStyle w:val="ListParagraph"/>
        <w:numPr>
          <w:ilvl w:val="0"/>
          <w:numId w:val="10"/>
        </w:numPr>
        <w:spacing w:after="120" w:line="360" w:lineRule="auto"/>
        <w:jc w:val="both"/>
        <w:rPr>
          <w:rFonts w:ascii="Times New Roman" w:hAnsi="Times New Roman"/>
        </w:rPr>
      </w:pPr>
      <w:r w:rsidRPr="006F5A79">
        <w:rPr>
          <w:rFonts w:ascii="Times New Roman" w:hAnsi="Times New Roman"/>
        </w:rPr>
        <w:t>Bank growth experience, plan and prospects.</w:t>
      </w:r>
    </w:p>
    <w:p w:rsidR="006F5A79" w:rsidRDefault="00DA4DD8" w:rsidP="006F5A79">
      <w:pPr>
        <w:pStyle w:val="ListParagraph"/>
        <w:numPr>
          <w:ilvl w:val="0"/>
          <w:numId w:val="10"/>
        </w:numPr>
        <w:spacing w:after="120" w:line="360" w:lineRule="auto"/>
        <w:jc w:val="both"/>
        <w:rPr>
          <w:rFonts w:ascii="Times New Roman" w:hAnsi="Times New Roman"/>
        </w:rPr>
      </w:pPr>
      <w:r w:rsidRPr="006F5A79">
        <w:rPr>
          <w:rFonts w:ascii="Times New Roman" w:hAnsi="Times New Roman"/>
        </w:rPr>
        <w:t>Quality of capital retained earning</w:t>
      </w:r>
    </w:p>
    <w:p w:rsidR="00DA4DD8" w:rsidRPr="006F5A79" w:rsidRDefault="00DA4DD8" w:rsidP="006F5A79">
      <w:pPr>
        <w:pStyle w:val="ListParagraph"/>
        <w:numPr>
          <w:ilvl w:val="0"/>
          <w:numId w:val="10"/>
        </w:numPr>
        <w:spacing w:after="120" w:line="360" w:lineRule="auto"/>
        <w:jc w:val="both"/>
        <w:rPr>
          <w:rFonts w:ascii="Times New Roman" w:hAnsi="Times New Roman"/>
        </w:rPr>
      </w:pPr>
      <w:r w:rsidRPr="006F5A79">
        <w:rPr>
          <w:rFonts w:ascii="Times New Roman" w:hAnsi="Times New Roman"/>
        </w:rPr>
        <w:t>Access to the capital market.</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Banking transaction directly affected by adequacy and inadequacy of bank capital .if there is inadequate capital the bank should take step for the adequacy of capital as per legal requirement. The bank should remove the inadequacy of bank capital through the medium of collecting of ownership and borrowed capital. It is not good for a bank to collect borrowed capital in the bank so it has to reduce the amount of borrowed capital as far as possible .The adequacy of the bank capital is necessary for the following function.</w:t>
      </w:r>
    </w:p>
    <w:p w:rsidR="00DA4DD8" w:rsidRPr="00F578A3" w:rsidRDefault="00DA4DD8" w:rsidP="00FD1AA2">
      <w:pPr>
        <w:numPr>
          <w:ilvl w:val="0"/>
          <w:numId w:val="11"/>
        </w:numPr>
        <w:spacing w:after="240" w:line="360" w:lineRule="auto"/>
        <w:jc w:val="both"/>
        <w:rPr>
          <w:rFonts w:ascii="Times New Roman" w:hAnsi="Times New Roman"/>
        </w:rPr>
      </w:pPr>
      <w:r w:rsidRPr="00F578A3">
        <w:rPr>
          <w:rFonts w:ascii="Times New Roman" w:hAnsi="Times New Roman"/>
          <w:b/>
        </w:rPr>
        <w:t>For the payment of all types of deposits:</w:t>
      </w:r>
      <w:r w:rsidRPr="00F578A3">
        <w:rPr>
          <w:rFonts w:ascii="Times New Roman" w:hAnsi="Times New Roman"/>
        </w:rPr>
        <w:t xml:space="preserve"> Deposit is liability for a bank so to payback it adequacy of bank capital is necessary for a bank .Hence the adequacy of bank capital is needed to gain trust from its customers.</w:t>
      </w:r>
    </w:p>
    <w:p w:rsidR="00DA4DD8" w:rsidRPr="00F578A3" w:rsidRDefault="003B663E" w:rsidP="00FD1AA2">
      <w:pPr>
        <w:numPr>
          <w:ilvl w:val="0"/>
          <w:numId w:val="11"/>
        </w:numPr>
        <w:spacing w:after="240" w:line="360" w:lineRule="auto"/>
        <w:jc w:val="both"/>
        <w:rPr>
          <w:rFonts w:ascii="Times New Roman" w:hAnsi="Times New Roman"/>
        </w:rPr>
      </w:pPr>
      <w:r>
        <w:rPr>
          <w:rFonts w:ascii="Times New Roman" w:hAnsi="Times New Roman"/>
          <w:b/>
        </w:rPr>
        <w:t>For meeting</w:t>
      </w:r>
      <w:r w:rsidR="00DA4DD8" w:rsidRPr="00F578A3">
        <w:rPr>
          <w:rFonts w:ascii="Times New Roman" w:hAnsi="Times New Roman"/>
          <w:b/>
        </w:rPr>
        <w:t xml:space="preserve"> the demand of all types of cash reserve funds: </w:t>
      </w:r>
      <w:r w:rsidR="00DA4DD8" w:rsidRPr="00F578A3">
        <w:rPr>
          <w:rFonts w:ascii="Times New Roman" w:hAnsi="Times New Roman"/>
        </w:rPr>
        <w:t xml:space="preserve">Bank has legal obligation to deposit the amount in different types of funds in the Nepal Rasta Bank and its own bank. This legal obligation occur in two ways ,one way is by the provision of law and another is take place due to circulars ,policy and </w:t>
      </w:r>
      <w:r w:rsidR="00DA4DD8" w:rsidRPr="00F578A3">
        <w:rPr>
          <w:rFonts w:ascii="Times New Roman" w:hAnsi="Times New Roman"/>
        </w:rPr>
        <w:lastRenderedPageBreak/>
        <w:t>directives issued by NRB .Therefore to meet this legal obligation bank needs an adequate bank capital.</w:t>
      </w:r>
    </w:p>
    <w:p w:rsidR="00DA4DD8" w:rsidRPr="00F578A3" w:rsidRDefault="00F46FE6" w:rsidP="00FD1AA2">
      <w:pPr>
        <w:numPr>
          <w:ilvl w:val="0"/>
          <w:numId w:val="11"/>
        </w:numPr>
        <w:spacing w:after="240" w:line="360" w:lineRule="auto"/>
        <w:jc w:val="both"/>
        <w:rPr>
          <w:rFonts w:ascii="Times New Roman" w:hAnsi="Times New Roman"/>
        </w:rPr>
      </w:pPr>
      <w:r>
        <w:rPr>
          <w:rFonts w:ascii="Times New Roman" w:hAnsi="Times New Roman"/>
          <w:b/>
        </w:rPr>
        <w:t xml:space="preserve">For </w:t>
      </w:r>
      <w:r w:rsidR="002D4080">
        <w:rPr>
          <w:rFonts w:ascii="Times New Roman" w:hAnsi="Times New Roman"/>
          <w:b/>
        </w:rPr>
        <w:t>i</w:t>
      </w:r>
      <w:r w:rsidR="00984518">
        <w:rPr>
          <w:rFonts w:ascii="Times New Roman" w:hAnsi="Times New Roman"/>
          <w:b/>
        </w:rPr>
        <w:t>nvestment in</w:t>
      </w:r>
      <w:r w:rsidR="00DA4DD8" w:rsidRPr="00F578A3">
        <w:rPr>
          <w:rFonts w:ascii="Times New Roman" w:hAnsi="Times New Roman"/>
          <w:b/>
        </w:rPr>
        <w:t xml:space="preserve"> banking transaction and business: </w:t>
      </w:r>
      <w:r w:rsidR="00DA4DD8" w:rsidRPr="00F578A3">
        <w:rPr>
          <w:rFonts w:ascii="Times New Roman" w:hAnsi="Times New Roman"/>
        </w:rPr>
        <w:t>Bank cannot be operates unless it perform its function of meeting its daily administrative expenditure and the investment in different sector to gain profit. So to perform the above function the bank needs an adequate bank capital.</w:t>
      </w:r>
    </w:p>
    <w:p w:rsidR="00DA4DD8" w:rsidRPr="003B663E" w:rsidRDefault="006F5A79" w:rsidP="00FD1AA2">
      <w:pPr>
        <w:spacing w:after="240" w:line="360" w:lineRule="auto"/>
        <w:jc w:val="both"/>
        <w:rPr>
          <w:rFonts w:ascii="Times New Roman" w:hAnsi="Times New Roman"/>
          <w:b/>
          <w:sz w:val="28"/>
        </w:rPr>
      </w:pPr>
      <w:r w:rsidRPr="003B663E">
        <w:rPr>
          <w:rFonts w:ascii="Times New Roman" w:hAnsi="Times New Roman"/>
          <w:b/>
          <w:sz w:val="28"/>
        </w:rPr>
        <w:t>2.1.4</w:t>
      </w:r>
      <w:r w:rsidR="00DA4DD8" w:rsidRPr="003B663E">
        <w:rPr>
          <w:rFonts w:ascii="Times New Roman" w:hAnsi="Times New Roman"/>
          <w:b/>
          <w:sz w:val="28"/>
        </w:rPr>
        <w:t xml:space="preserve">.2 </w:t>
      </w:r>
      <w:r w:rsidRPr="003B663E">
        <w:rPr>
          <w:rFonts w:ascii="Times New Roman" w:hAnsi="Times New Roman"/>
          <w:b/>
          <w:sz w:val="28"/>
        </w:rPr>
        <w:t xml:space="preserve"> </w:t>
      </w:r>
      <w:r w:rsidR="00DA4DD8" w:rsidRPr="003B663E">
        <w:rPr>
          <w:rFonts w:ascii="Times New Roman" w:hAnsi="Times New Roman"/>
          <w:b/>
          <w:sz w:val="28"/>
        </w:rPr>
        <w:t>Assets Quality</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Asset quality determine the robustness of financial intuitions against loss of value in the assets. The determining value of assets, being prime sources of banking problem, directly pour into other areas, as losses are eventually written-off against capital, which ultimately jeopardizes the earning capacity of the institution with this backdrop, the assets quality is gauged in relation to the level and severity of non –performing assets, adequacy of provisions, recoveries, distribution of assets etc. Popular indicators include non-performing loan to advance, loan default to total advance, and recoveries to loan default ratio.</w:t>
      </w:r>
    </w:p>
    <w:p w:rsidR="00DA4DD8" w:rsidRPr="0090249C" w:rsidRDefault="00DA4DD8" w:rsidP="00FD1AA2">
      <w:pPr>
        <w:spacing w:after="240" w:line="360" w:lineRule="auto"/>
        <w:jc w:val="both"/>
        <w:rPr>
          <w:rFonts w:ascii="Times New Roman" w:hAnsi="Times New Roman"/>
        </w:rPr>
      </w:pPr>
      <w:r w:rsidRPr="00F578A3">
        <w:rPr>
          <w:rFonts w:ascii="Times New Roman" w:hAnsi="Times New Roman"/>
        </w:rPr>
        <w:t>“Assets quality is one of the most critical areas to determining the overall condition of the bank. The primary factor affecting overall assets quality is the quality of loan portfolio and the credit administration program. Loans are usually the largest of the assets item and can also carry the greatest amount of potential risk to the company’s capital account. Security can often be a large portion of the assets and also have identifiable risks. Other items which impact a comprehensive review of assets quality other real estate, other assets, off-balance sheet items and, to a lesser extent, cash and due from accounts and premises and fixed assets</w:t>
      </w:r>
      <w:r w:rsidRPr="0090249C">
        <w:rPr>
          <w:rFonts w:ascii="Times New Roman" w:hAnsi="Times New Roman"/>
        </w:rPr>
        <w:t xml:space="preserve">” (Koch and Macdonald; 2004:165). </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 xml:space="preserve">Management often expends significant time, energy and resources on their assets portfolio, particularly the loan portfolio. Problems within this portfolio can detract from their ability to successfully and profitably manage other areas of the institution. Examiners need be diligent and focused in their review of the various assets quality areas, as they have an important impact on all other facts of commercial banks operation. The evaluation of assets should consider the adequacy of the allowance for loan and lease losses (ALLL) and the weight exposure-party, issuer or borrower </w:t>
      </w:r>
      <w:r w:rsidRPr="00F578A3">
        <w:rPr>
          <w:rFonts w:ascii="Times New Roman" w:hAnsi="Times New Roman"/>
        </w:rPr>
        <w:lastRenderedPageBreak/>
        <w:t>default under actual or implied contractual agreements. All other risks that may affect the value or marketability of an institutions assets including but not limited to, operating market, reputation, strategic, or compliance risks, should be considered. Prior to assigning an assets quality rating, several factors should be considered. The factors should be reviewed within the context of any systematic weakness, as opposed to isolated problems, should be given appropriate consideration. Commercial banks collect funds in the form of capital, deposit etc. it mobilizes these funds to generate certain returns by giving loans to the users of money to invest in various alternatives. A significant part of the banks income is through its lending activities. There are basically two types of loans-advances and loss provisions:</w:t>
      </w:r>
    </w:p>
    <w:p w:rsidR="00DA4DD8" w:rsidRPr="006F5A79" w:rsidRDefault="006F5A79" w:rsidP="00656301">
      <w:pPr>
        <w:numPr>
          <w:ilvl w:val="0"/>
          <w:numId w:val="1"/>
        </w:numPr>
        <w:spacing w:after="240" w:line="360" w:lineRule="auto"/>
        <w:rPr>
          <w:rFonts w:ascii="Times New Roman" w:hAnsi="Times New Roman"/>
          <w:b/>
          <w:bCs/>
        </w:rPr>
      </w:pPr>
      <w:r>
        <w:rPr>
          <w:rFonts w:ascii="Times New Roman" w:hAnsi="Times New Roman"/>
          <w:b/>
          <w:bCs/>
        </w:rPr>
        <w:t>Performing L</w:t>
      </w:r>
      <w:r w:rsidR="00DA4DD8" w:rsidRPr="006F5A79">
        <w:rPr>
          <w:rFonts w:ascii="Times New Roman" w:hAnsi="Times New Roman"/>
          <w:b/>
          <w:bCs/>
        </w:rPr>
        <w:t>oans:</w:t>
      </w:r>
    </w:p>
    <w:p w:rsidR="00DA4DD8" w:rsidRPr="00F578A3" w:rsidRDefault="00DA4DD8" w:rsidP="00FD1AA2">
      <w:pPr>
        <w:numPr>
          <w:ilvl w:val="0"/>
          <w:numId w:val="12"/>
        </w:numPr>
        <w:spacing w:after="240" w:line="360" w:lineRule="auto"/>
        <w:jc w:val="both"/>
        <w:rPr>
          <w:rFonts w:ascii="Times New Roman" w:hAnsi="Times New Roman"/>
        </w:rPr>
      </w:pPr>
      <w:r w:rsidRPr="00F578A3">
        <w:rPr>
          <w:rFonts w:ascii="Times New Roman" w:hAnsi="Times New Roman"/>
        </w:rPr>
        <w:t>All goods loans and overdue for below 90 days.</w:t>
      </w:r>
    </w:p>
    <w:p w:rsidR="00DA4DD8" w:rsidRPr="006F5A79" w:rsidRDefault="006F5A79" w:rsidP="00FD1AA2">
      <w:pPr>
        <w:numPr>
          <w:ilvl w:val="0"/>
          <w:numId w:val="1"/>
        </w:numPr>
        <w:spacing w:after="240" w:line="360" w:lineRule="auto"/>
        <w:jc w:val="both"/>
        <w:rPr>
          <w:rFonts w:ascii="Times New Roman" w:hAnsi="Times New Roman"/>
          <w:b/>
          <w:bCs/>
        </w:rPr>
      </w:pPr>
      <w:r w:rsidRPr="006F5A79">
        <w:rPr>
          <w:rFonts w:ascii="Times New Roman" w:hAnsi="Times New Roman"/>
          <w:b/>
          <w:bCs/>
        </w:rPr>
        <w:t>Nonperforming L</w:t>
      </w:r>
      <w:r w:rsidR="00DA4DD8" w:rsidRPr="006F5A79">
        <w:rPr>
          <w:rFonts w:ascii="Times New Roman" w:hAnsi="Times New Roman"/>
          <w:b/>
          <w:bCs/>
        </w:rPr>
        <w:t>oans:</w:t>
      </w:r>
    </w:p>
    <w:p w:rsidR="00DA4DD8" w:rsidRPr="00F578A3" w:rsidRDefault="00DA4DD8" w:rsidP="006F5A79">
      <w:pPr>
        <w:numPr>
          <w:ilvl w:val="0"/>
          <w:numId w:val="12"/>
        </w:numPr>
        <w:spacing w:after="120" w:line="360" w:lineRule="auto"/>
        <w:ind w:left="547"/>
        <w:jc w:val="both"/>
        <w:rPr>
          <w:rFonts w:ascii="Times New Roman" w:hAnsi="Times New Roman"/>
        </w:rPr>
      </w:pPr>
      <w:r w:rsidRPr="00F578A3">
        <w:rPr>
          <w:rFonts w:ascii="Times New Roman" w:hAnsi="Times New Roman"/>
        </w:rPr>
        <w:t>Sub standard loans overdue by more than 3 months up to 6 months.</w:t>
      </w:r>
    </w:p>
    <w:p w:rsidR="00DA4DD8" w:rsidRPr="00F578A3" w:rsidRDefault="00DA4DD8" w:rsidP="006F5A79">
      <w:pPr>
        <w:numPr>
          <w:ilvl w:val="0"/>
          <w:numId w:val="12"/>
        </w:numPr>
        <w:spacing w:after="120" w:line="360" w:lineRule="auto"/>
        <w:ind w:left="547"/>
        <w:jc w:val="both"/>
        <w:rPr>
          <w:rFonts w:ascii="Times New Roman" w:hAnsi="Times New Roman"/>
        </w:rPr>
      </w:pPr>
      <w:r w:rsidRPr="00F578A3">
        <w:rPr>
          <w:rFonts w:ascii="Times New Roman" w:hAnsi="Times New Roman"/>
        </w:rPr>
        <w:t>Doubtful loans overdue by more than 6 months up to 1 year.</w:t>
      </w:r>
    </w:p>
    <w:p w:rsidR="00DA4DD8" w:rsidRPr="00F578A3" w:rsidRDefault="00DA4DD8" w:rsidP="006F5A79">
      <w:pPr>
        <w:numPr>
          <w:ilvl w:val="0"/>
          <w:numId w:val="12"/>
        </w:numPr>
        <w:spacing w:after="120" w:line="360" w:lineRule="auto"/>
        <w:ind w:left="547"/>
        <w:jc w:val="both"/>
        <w:rPr>
          <w:rFonts w:ascii="Times New Roman" w:hAnsi="Times New Roman"/>
        </w:rPr>
      </w:pPr>
      <w:r w:rsidRPr="00F578A3">
        <w:rPr>
          <w:rFonts w:ascii="Times New Roman" w:hAnsi="Times New Roman"/>
        </w:rPr>
        <w:t>Bad loans overdue by more than 1 year.</w:t>
      </w:r>
    </w:p>
    <w:p w:rsidR="00DA4DD8" w:rsidRPr="002D4080" w:rsidRDefault="00DA4DD8" w:rsidP="00FD1AA2">
      <w:pPr>
        <w:spacing w:after="240" w:line="360" w:lineRule="auto"/>
        <w:jc w:val="both"/>
        <w:rPr>
          <w:rFonts w:ascii="Times New Roman" w:hAnsi="Times New Roman"/>
          <w:b/>
          <w:sz w:val="28"/>
        </w:rPr>
      </w:pPr>
      <w:r w:rsidRPr="002D4080">
        <w:rPr>
          <w:rFonts w:ascii="Times New Roman" w:hAnsi="Times New Roman"/>
          <w:b/>
          <w:sz w:val="28"/>
        </w:rPr>
        <w:t>Rating the Assets Quality Factor</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The assets quality rating definitions are applied following a thorough evaluation of existing and potential risks and the mitigation of those risks. The definitions of each rating are as follows.</w:t>
      </w:r>
    </w:p>
    <w:p w:rsidR="00DA4DD8" w:rsidRPr="00F578A3" w:rsidRDefault="00DA4DD8" w:rsidP="00FD1AA2">
      <w:pPr>
        <w:numPr>
          <w:ilvl w:val="0"/>
          <w:numId w:val="13"/>
        </w:numPr>
        <w:spacing w:after="240" w:line="360" w:lineRule="auto"/>
        <w:jc w:val="both"/>
        <w:rPr>
          <w:rFonts w:ascii="Times New Roman" w:hAnsi="Times New Roman"/>
        </w:rPr>
      </w:pPr>
      <w:r w:rsidRPr="00F578A3">
        <w:rPr>
          <w:rFonts w:ascii="Times New Roman" w:hAnsi="Times New Roman"/>
        </w:rPr>
        <w:t>Rating of 1 indicates strong assets quality and credit administration practices. Identified weaknesses are minor in nature and risk exposure is modest in relation to capital protection and management’s abilities. Assets quality in such institutions is of minimal supervisory concern.</w:t>
      </w:r>
    </w:p>
    <w:p w:rsidR="00DA4DD8" w:rsidRPr="00F578A3" w:rsidRDefault="00DA4DD8" w:rsidP="00FD1AA2">
      <w:pPr>
        <w:numPr>
          <w:ilvl w:val="0"/>
          <w:numId w:val="13"/>
        </w:numPr>
        <w:spacing w:after="240" w:line="360" w:lineRule="auto"/>
        <w:jc w:val="both"/>
        <w:rPr>
          <w:rFonts w:ascii="Times New Roman" w:hAnsi="Times New Roman"/>
        </w:rPr>
      </w:pPr>
      <w:r w:rsidRPr="00F578A3">
        <w:rPr>
          <w:rFonts w:ascii="Times New Roman" w:hAnsi="Times New Roman"/>
        </w:rPr>
        <w:t>A rating of 2 indicates satisfactory asset quality and credit administration practices. The level and severity of classification and other weakness warrant a limited level of supervisory attention. Risk exposure is commensurate with capital protection and management’s abilities.</w:t>
      </w:r>
    </w:p>
    <w:p w:rsidR="00DA4DD8" w:rsidRPr="00F578A3" w:rsidRDefault="00DA4DD8" w:rsidP="00FD1AA2">
      <w:pPr>
        <w:numPr>
          <w:ilvl w:val="0"/>
          <w:numId w:val="13"/>
        </w:numPr>
        <w:spacing w:after="240" w:line="360" w:lineRule="auto"/>
        <w:jc w:val="both"/>
        <w:rPr>
          <w:rFonts w:ascii="Times New Roman" w:hAnsi="Times New Roman"/>
        </w:rPr>
      </w:pPr>
      <w:r w:rsidRPr="00F578A3">
        <w:rPr>
          <w:rFonts w:ascii="Times New Roman" w:hAnsi="Times New Roman"/>
        </w:rPr>
        <w:lastRenderedPageBreak/>
        <w:t>A rating of 3 is assigned when assets quality or credit administration practices are less than satisfactory. Trends may be stable or indicate deterioration is assets quality. The level and sensitivity of classified assets, other weakness, and risk require an elevated level of supervisor concern.</w:t>
      </w:r>
    </w:p>
    <w:p w:rsidR="00DA4DD8" w:rsidRPr="00F578A3" w:rsidRDefault="00DA4DD8" w:rsidP="00FD1AA2">
      <w:pPr>
        <w:numPr>
          <w:ilvl w:val="0"/>
          <w:numId w:val="13"/>
        </w:numPr>
        <w:spacing w:after="240" w:line="360" w:lineRule="auto"/>
        <w:jc w:val="both"/>
        <w:rPr>
          <w:rFonts w:ascii="Times New Roman" w:hAnsi="Times New Roman"/>
        </w:rPr>
      </w:pPr>
      <w:r w:rsidRPr="00F578A3">
        <w:rPr>
          <w:rFonts w:ascii="Times New Roman" w:hAnsi="Times New Roman"/>
        </w:rPr>
        <w:t>A rating 4 is assigned to FIs with deficient assts quality or credit administration practices. The levels of risk and problem assets are significant, inadequately controlled, and subject the FI to Potential losses that, if left unchecked, may threaten its viability.</w:t>
      </w:r>
    </w:p>
    <w:p w:rsidR="00DA4DD8" w:rsidRPr="00F578A3" w:rsidRDefault="00DA4DD8" w:rsidP="00FD1AA2">
      <w:pPr>
        <w:numPr>
          <w:ilvl w:val="0"/>
          <w:numId w:val="13"/>
        </w:numPr>
        <w:spacing w:after="240" w:line="360" w:lineRule="auto"/>
        <w:jc w:val="both"/>
        <w:rPr>
          <w:rFonts w:ascii="Times New Roman" w:hAnsi="Times New Roman"/>
        </w:rPr>
      </w:pPr>
      <w:r w:rsidRPr="00F578A3">
        <w:rPr>
          <w:rFonts w:ascii="Times New Roman" w:hAnsi="Times New Roman"/>
        </w:rPr>
        <w:t>A rating of 5 represents critically deficient assts quality or credit administration practices that present an imminent threat to the institutions viability.</w:t>
      </w:r>
    </w:p>
    <w:p w:rsidR="00DA4DD8" w:rsidRPr="002D4080" w:rsidRDefault="006F5A79" w:rsidP="00FD1AA2">
      <w:pPr>
        <w:spacing w:after="240" w:line="360" w:lineRule="auto"/>
        <w:jc w:val="both"/>
        <w:rPr>
          <w:rFonts w:ascii="Times New Roman" w:hAnsi="Times New Roman"/>
          <w:b/>
          <w:sz w:val="28"/>
        </w:rPr>
      </w:pPr>
      <w:r w:rsidRPr="002D4080">
        <w:rPr>
          <w:rFonts w:ascii="Times New Roman" w:hAnsi="Times New Roman"/>
          <w:b/>
          <w:sz w:val="28"/>
        </w:rPr>
        <w:t>2.1.4</w:t>
      </w:r>
      <w:r w:rsidR="00DA4DD8" w:rsidRPr="002D4080">
        <w:rPr>
          <w:rFonts w:ascii="Times New Roman" w:hAnsi="Times New Roman"/>
          <w:b/>
          <w:sz w:val="28"/>
        </w:rPr>
        <w:t xml:space="preserve">.3  </w:t>
      </w:r>
      <w:r w:rsidR="00656301" w:rsidRPr="002D4080">
        <w:rPr>
          <w:rFonts w:ascii="Times New Roman" w:hAnsi="Times New Roman"/>
          <w:b/>
          <w:sz w:val="28"/>
        </w:rPr>
        <w:t xml:space="preserve"> </w:t>
      </w:r>
      <w:r w:rsidR="00DA4DD8" w:rsidRPr="002D4080">
        <w:rPr>
          <w:rFonts w:ascii="Times New Roman" w:hAnsi="Times New Roman"/>
          <w:b/>
          <w:sz w:val="28"/>
        </w:rPr>
        <w:t>Management Quality</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 xml:space="preserve">The capability of the board of directors and management, in their respective roles, to identify, measure, monitors and controls the risks of institutions activities and to ensure a FIs safe, sound and efficient operation in compliance with applicable laws and regulation is reflected in this rating. Depending on the nature scope of institutions activities, management practices may need to address some or all of the following risks: credit, market, operating or transaction, reputation, strategic, compliance, legal, liquidity and other risks. Sound management practices and demonstrated by: active oversight by the board of directors and management, competent, personnel, adequate policies processes, and controls taking in to consideration the size and sophistication of the institution, maintenance of an appropriate audit program and internal control environment and effective risk monitoring and management information system. This rating should reflect the boards and management’s ability as it applies to all aspects of banking operations as well as other financial service activities in which the institution is involved </w:t>
      </w:r>
      <w:r w:rsidRPr="00A14C37">
        <w:rPr>
          <w:rFonts w:ascii="Times New Roman" w:hAnsi="Times New Roman"/>
        </w:rPr>
        <w:t>(Mishkin and Eakins; 2006).</w:t>
      </w:r>
      <w:r w:rsidRPr="00F578A3">
        <w:rPr>
          <w:rFonts w:ascii="Times New Roman" w:hAnsi="Times New Roman"/>
        </w:rPr>
        <w:t xml:space="preserve"> The Capability and performance of management and the board of directors is rated based upon, but not limited to, an assessment of the following evaluation.</w:t>
      </w:r>
    </w:p>
    <w:p w:rsidR="00DA4DD8" w:rsidRPr="00F578A3" w:rsidRDefault="00DA4DD8" w:rsidP="00152068">
      <w:pPr>
        <w:numPr>
          <w:ilvl w:val="0"/>
          <w:numId w:val="14"/>
        </w:numPr>
        <w:tabs>
          <w:tab w:val="left" w:pos="1170"/>
        </w:tabs>
        <w:spacing w:after="120" w:line="360" w:lineRule="auto"/>
        <w:ind w:left="270" w:firstLine="360"/>
        <w:jc w:val="both"/>
        <w:rPr>
          <w:rFonts w:ascii="Times New Roman" w:hAnsi="Times New Roman"/>
        </w:rPr>
      </w:pPr>
      <w:r w:rsidRPr="00F578A3">
        <w:rPr>
          <w:rFonts w:ascii="Times New Roman" w:hAnsi="Times New Roman"/>
        </w:rPr>
        <w:t>Structure of perfect management team.</w:t>
      </w:r>
    </w:p>
    <w:p w:rsidR="00DA4DD8" w:rsidRPr="00F578A3" w:rsidRDefault="00DA4DD8" w:rsidP="00152068">
      <w:pPr>
        <w:numPr>
          <w:ilvl w:val="0"/>
          <w:numId w:val="14"/>
        </w:numPr>
        <w:tabs>
          <w:tab w:val="left" w:pos="1170"/>
        </w:tabs>
        <w:spacing w:after="120" w:line="360" w:lineRule="auto"/>
        <w:ind w:left="270" w:firstLine="360"/>
        <w:jc w:val="both"/>
        <w:rPr>
          <w:rFonts w:ascii="Times New Roman" w:hAnsi="Times New Roman"/>
        </w:rPr>
      </w:pPr>
      <w:r w:rsidRPr="00F578A3">
        <w:rPr>
          <w:rFonts w:ascii="Times New Roman" w:hAnsi="Times New Roman"/>
        </w:rPr>
        <w:t>Qualitative manpower and its productivity.</w:t>
      </w:r>
    </w:p>
    <w:p w:rsidR="00DA4DD8" w:rsidRPr="00F578A3" w:rsidRDefault="00DA4DD8" w:rsidP="00152068">
      <w:pPr>
        <w:numPr>
          <w:ilvl w:val="0"/>
          <w:numId w:val="14"/>
        </w:numPr>
        <w:tabs>
          <w:tab w:val="left" w:pos="1170"/>
        </w:tabs>
        <w:spacing w:after="120" w:line="360" w:lineRule="auto"/>
        <w:ind w:left="270" w:firstLine="360"/>
        <w:jc w:val="both"/>
        <w:rPr>
          <w:rFonts w:ascii="Times New Roman" w:hAnsi="Times New Roman"/>
        </w:rPr>
      </w:pPr>
      <w:r w:rsidRPr="00F578A3">
        <w:rPr>
          <w:rFonts w:ascii="Times New Roman" w:hAnsi="Times New Roman"/>
        </w:rPr>
        <w:lastRenderedPageBreak/>
        <w:t>Good relationship between customer and organization.</w:t>
      </w:r>
    </w:p>
    <w:p w:rsidR="00DA4DD8" w:rsidRPr="00F578A3" w:rsidRDefault="00DA4DD8" w:rsidP="00152068">
      <w:pPr>
        <w:numPr>
          <w:ilvl w:val="0"/>
          <w:numId w:val="14"/>
        </w:numPr>
        <w:tabs>
          <w:tab w:val="left" w:pos="1170"/>
        </w:tabs>
        <w:spacing w:after="120" w:line="360" w:lineRule="auto"/>
        <w:ind w:left="270" w:firstLine="360"/>
        <w:jc w:val="both"/>
        <w:rPr>
          <w:rFonts w:ascii="Times New Roman" w:hAnsi="Times New Roman"/>
        </w:rPr>
      </w:pPr>
      <w:r w:rsidRPr="00F578A3">
        <w:rPr>
          <w:rFonts w:ascii="Times New Roman" w:hAnsi="Times New Roman"/>
        </w:rPr>
        <w:t>Adequate management expenses.</w:t>
      </w:r>
    </w:p>
    <w:p w:rsidR="00DA4DD8" w:rsidRPr="00F578A3" w:rsidRDefault="00DA4DD8" w:rsidP="00152068">
      <w:pPr>
        <w:numPr>
          <w:ilvl w:val="0"/>
          <w:numId w:val="14"/>
        </w:numPr>
        <w:tabs>
          <w:tab w:val="left" w:pos="1170"/>
        </w:tabs>
        <w:spacing w:after="120" w:line="360" w:lineRule="auto"/>
        <w:ind w:left="270" w:firstLine="360"/>
        <w:jc w:val="both"/>
        <w:rPr>
          <w:rFonts w:ascii="Times New Roman" w:hAnsi="Times New Roman"/>
        </w:rPr>
      </w:pPr>
      <w:r w:rsidRPr="00F578A3">
        <w:rPr>
          <w:rFonts w:ascii="Times New Roman" w:hAnsi="Times New Roman"/>
        </w:rPr>
        <w:t>Perfect internal management system.</w:t>
      </w:r>
    </w:p>
    <w:p w:rsidR="00DA4DD8" w:rsidRPr="00F578A3" w:rsidRDefault="00DA4DD8" w:rsidP="00152068">
      <w:pPr>
        <w:numPr>
          <w:ilvl w:val="0"/>
          <w:numId w:val="14"/>
        </w:numPr>
        <w:tabs>
          <w:tab w:val="left" w:pos="1170"/>
        </w:tabs>
        <w:spacing w:after="120" w:line="360" w:lineRule="auto"/>
        <w:ind w:left="270" w:firstLine="360"/>
        <w:jc w:val="both"/>
        <w:rPr>
          <w:rFonts w:ascii="Times New Roman" w:hAnsi="Times New Roman"/>
        </w:rPr>
      </w:pPr>
      <w:r w:rsidRPr="00F578A3">
        <w:rPr>
          <w:rFonts w:ascii="Times New Roman" w:hAnsi="Times New Roman"/>
        </w:rPr>
        <w:t>Fair decision making capability.</w:t>
      </w:r>
    </w:p>
    <w:p w:rsidR="00DA4DD8" w:rsidRPr="00F578A3" w:rsidRDefault="00DA4DD8" w:rsidP="00152068">
      <w:pPr>
        <w:numPr>
          <w:ilvl w:val="0"/>
          <w:numId w:val="14"/>
        </w:numPr>
        <w:tabs>
          <w:tab w:val="left" w:pos="1170"/>
        </w:tabs>
        <w:spacing w:after="120" w:line="360" w:lineRule="auto"/>
        <w:ind w:left="270" w:firstLine="360"/>
        <w:jc w:val="both"/>
        <w:rPr>
          <w:rFonts w:ascii="Times New Roman" w:hAnsi="Times New Roman"/>
        </w:rPr>
      </w:pPr>
      <w:r w:rsidRPr="00F578A3">
        <w:rPr>
          <w:rFonts w:ascii="Times New Roman" w:hAnsi="Times New Roman"/>
        </w:rPr>
        <w:t>Proper communication system.</w:t>
      </w:r>
    </w:p>
    <w:p w:rsidR="00DA4DD8" w:rsidRPr="00F578A3" w:rsidRDefault="00DA4DD8" w:rsidP="00152068">
      <w:pPr>
        <w:numPr>
          <w:ilvl w:val="0"/>
          <w:numId w:val="14"/>
        </w:numPr>
        <w:tabs>
          <w:tab w:val="left" w:pos="1170"/>
        </w:tabs>
        <w:spacing w:after="120" w:line="360" w:lineRule="auto"/>
        <w:ind w:left="270" w:firstLine="360"/>
        <w:jc w:val="both"/>
        <w:rPr>
          <w:rFonts w:ascii="Times New Roman" w:hAnsi="Times New Roman"/>
        </w:rPr>
      </w:pPr>
      <w:r w:rsidRPr="00F578A3">
        <w:rPr>
          <w:rFonts w:ascii="Times New Roman" w:hAnsi="Times New Roman"/>
        </w:rPr>
        <w:t>Perfect working environment.</w:t>
      </w:r>
    </w:p>
    <w:p w:rsidR="00DA4DD8" w:rsidRPr="002D4080" w:rsidRDefault="00242AAE" w:rsidP="00FD1AA2">
      <w:pPr>
        <w:tabs>
          <w:tab w:val="left" w:pos="1080"/>
        </w:tabs>
        <w:spacing w:after="240" w:line="360" w:lineRule="auto"/>
        <w:jc w:val="both"/>
        <w:rPr>
          <w:rFonts w:ascii="Times New Roman" w:hAnsi="Times New Roman"/>
          <w:b/>
          <w:sz w:val="28"/>
        </w:rPr>
      </w:pPr>
      <w:r w:rsidRPr="002D4080">
        <w:rPr>
          <w:rFonts w:ascii="Times New Roman" w:hAnsi="Times New Roman"/>
          <w:b/>
          <w:sz w:val="28"/>
        </w:rPr>
        <w:t>Rating of M</w:t>
      </w:r>
      <w:r w:rsidR="00DA4DD8" w:rsidRPr="002D4080">
        <w:rPr>
          <w:rFonts w:ascii="Times New Roman" w:hAnsi="Times New Roman"/>
          <w:b/>
          <w:sz w:val="28"/>
        </w:rPr>
        <w:t xml:space="preserve">anagement </w:t>
      </w:r>
      <w:r w:rsidRPr="002D4080">
        <w:rPr>
          <w:rFonts w:ascii="Times New Roman" w:hAnsi="Times New Roman"/>
          <w:b/>
          <w:sz w:val="28"/>
        </w:rPr>
        <w:t>F</w:t>
      </w:r>
      <w:r w:rsidR="00DA4DD8" w:rsidRPr="002D4080">
        <w:rPr>
          <w:rFonts w:ascii="Times New Roman" w:hAnsi="Times New Roman"/>
          <w:b/>
          <w:sz w:val="28"/>
        </w:rPr>
        <w:t>actors</w:t>
      </w:r>
    </w:p>
    <w:p w:rsidR="00DA4DD8" w:rsidRPr="00F578A3" w:rsidRDefault="00DA4DD8" w:rsidP="00FD1AA2">
      <w:pPr>
        <w:numPr>
          <w:ilvl w:val="0"/>
          <w:numId w:val="15"/>
        </w:numPr>
        <w:spacing w:after="240" w:line="360" w:lineRule="auto"/>
        <w:jc w:val="both"/>
        <w:rPr>
          <w:rFonts w:ascii="Times New Roman" w:hAnsi="Times New Roman"/>
        </w:rPr>
      </w:pPr>
      <w:r w:rsidRPr="00F578A3">
        <w:rPr>
          <w:rFonts w:ascii="Times New Roman" w:hAnsi="Times New Roman"/>
        </w:rPr>
        <w:t>A rating of 1 indicates strong performance by management and board of directors and strong risk management practices relative to the institutions size, complexity and risk profile. All significant risks are consistently and effectively identified, measured, monitored and controlled. Management and the board have demonstrated the ability to promptly and successfully address existing and potential problems and risks.</w:t>
      </w:r>
    </w:p>
    <w:p w:rsidR="00DA4DD8" w:rsidRPr="00F578A3" w:rsidRDefault="00DA4DD8" w:rsidP="00FD1AA2">
      <w:pPr>
        <w:numPr>
          <w:ilvl w:val="0"/>
          <w:numId w:val="15"/>
        </w:numPr>
        <w:spacing w:after="240" w:line="360" w:lineRule="auto"/>
        <w:jc w:val="both"/>
        <w:rPr>
          <w:rFonts w:ascii="Times New Roman" w:hAnsi="Times New Roman"/>
        </w:rPr>
      </w:pPr>
      <w:r w:rsidRPr="00F578A3">
        <w:rPr>
          <w:rFonts w:ascii="Times New Roman" w:hAnsi="Times New Roman"/>
        </w:rPr>
        <w:t>A rating of 2 indicates satisfactory management and board performance and risk management practices relative to the institutions size, complexity and risk profile. Minor weakness may exist, but are not material to the safety and soundness of the institution and are being addressed. In general, significant risks and problems and risks.</w:t>
      </w:r>
    </w:p>
    <w:p w:rsidR="00DA4DD8" w:rsidRPr="00F578A3" w:rsidRDefault="00DA4DD8" w:rsidP="00FD1AA2">
      <w:pPr>
        <w:numPr>
          <w:ilvl w:val="0"/>
          <w:numId w:val="15"/>
        </w:numPr>
        <w:spacing w:after="240" w:line="360" w:lineRule="auto"/>
        <w:jc w:val="both"/>
        <w:rPr>
          <w:rFonts w:ascii="Times New Roman" w:hAnsi="Times New Roman"/>
        </w:rPr>
      </w:pPr>
      <w:r w:rsidRPr="00F578A3">
        <w:rPr>
          <w:rFonts w:ascii="Times New Roman" w:hAnsi="Times New Roman"/>
        </w:rPr>
        <w:t>A rating of 3 indicates management and board performance that need improvement or risk management practices that are less than satisfactory given the nature of the institutions activities. The capabilities of management or the board of directors may be insufficient for the type, size, or condition of the institution. Problems and significant risks may be inadequately identified, measured, monitored or controlled.</w:t>
      </w:r>
    </w:p>
    <w:p w:rsidR="00DA4DD8" w:rsidRPr="00F578A3" w:rsidRDefault="00DA4DD8" w:rsidP="00FD1AA2">
      <w:pPr>
        <w:numPr>
          <w:ilvl w:val="0"/>
          <w:numId w:val="15"/>
        </w:numPr>
        <w:spacing w:after="240" w:line="360" w:lineRule="auto"/>
        <w:jc w:val="both"/>
        <w:rPr>
          <w:rFonts w:ascii="Times New Roman" w:hAnsi="Times New Roman"/>
        </w:rPr>
      </w:pPr>
      <w:r w:rsidRPr="00F578A3">
        <w:rPr>
          <w:rFonts w:ascii="Times New Roman" w:hAnsi="Times New Roman"/>
        </w:rPr>
        <w:t xml:space="preserve">A rating of 4 indicates deficient management and board performance or risk management practices that are inadequate considering the nature of institutions activities. The level of problems and significant risks are inadequately identified, measured, monitored or controlled and require immediate action by the board and </w:t>
      </w:r>
      <w:r w:rsidRPr="00F578A3">
        <w:rPr>
          <w:rFonts w:ascii="Times New Roman" w:hAnsi="Times New Roman"/>
        </w:rPr>
        <w:lastRenderedPageBreak/>
        <w:t>management to preserve the soundness of the institution. Replacing or strengthening management or the board may be necessary.</w:t>
      </w:r>
    </w:p>
    <w:p w:rsidR="00DA4DD8" w:rsidRPr="00F578A3" w:rsidRDefault="00DA4DD8" w:rsidP="00FD1AA2">
      <w:pPr>
        <w:numPr>
          <w:ilvl w:val="0"/>
          <w:numId w:val="15"/>
        </w:numPr>
        <w:spacing w:after="240" w:line="360" w:lineRule="auto"/>
        <w:jc w:val="both"/>
        <w:rPr>
          <w:rFonts w:ascii="Times New Roman" w:hAnsi="Times New Roman"/>
        </w:rPr>
      </w:pPr>
      <w:r w:rsidRPr="00F578A3">
        <w:rPr>
          <w:rFonts w:ascii="Times New Roman" w:hAnsi="Times New Roman"/>
        </w:rPr>
        <w:t>A rating of 5 indicates critically deficient management and board of Performance or risk management practices. Management and the board of directors have not demonstrated the ability to correct problems and implement appropriate risk management practices. Problems and significant risks are inadequately identified, measured, monitored or controlled and now threaten the continued viability of the institution. Replacing or strengthening management or the board of directors is necessary.</w:t>
      </w:r>
    </w:p>
    <w:p w:rsidR="00DA4DD8" w:rsidRPr="002D4080" w:rsidRDefault="00152068" w:rsidP="00FD1AA2">
      <w:pPr>
        <w:spacing w:after="240" w:line="360" w:lineRule="auto"/>
        <w:jc w:val="both"/>
        <w:rPr>
          <w:rFonts w:ascii="Times New Roman" w:hAnsi="Times New Roman"/>
          <w:b/>
          <w:sz w:val="28"/>
        </w:rPr>
      </w:pPr>
      <w:r w:rsidRPr="002D4080">
        <w:rPr>
          <w:rFonts w:ascii="Times New Roman" w:hAnsi="Times New Roman"/>
          <w:b/>
          <w:sz w:val="28"/>
        </w:rPr>
        <w:t>2.1.4</w:t>
      </w:r>
      <w:r w:rsidR="00DA4DD8" w:rsidRPr="002D4080">
        <w:rPr>
          <w:rFonts w:ascii="Times New Roman" w:hAnsi="Times New Roman"/>
          <w:b/>
          <w:sz w:val="28"/>
        </w:rPr>
        <w:t>.4</w:t>
      </w:r>
      <w:r w:rsidR="00DA4DD8" w:rsidRPr="002D4080">
        <w:rPr>
          <w:rFonts w:ascii="Times New Roman" w:hAnsi="Times New Roman"/>
          <w:sz w:val="28"/>
        </w:rPr>
        <w:t xml:space="preserve"> </w:t>
      </w:r>
      <w:r w:rsidR="006F5A79" w:rsidRPr="002D4080">
        <w:rPr>
          <w:rFonts w:ascii="Times New Roman" w:hAnsi="Times New Roman"/>
          <w:sz w:val="28"/>
        </w:rPr>
        <w:t xml:space="preserve"> </w:t>
      </w:r>
      <w:r w:rsidR="00DA4DD8" w:rsidRPr="002D4080">
        <w:rPr>
          <w:rFonts w:ascii="Times New Roman" w:hAnsi="Times New Roman"/>
          <w:b/>
          <w:sz w:val="28"/>
        </w:rPr>
        <w:t>Earning Quality</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Earnings are the ultimate result of any business. Generally, if the earnings are good then the business is running well. Similarly the aggregate performance of the bank reflects from its earnings. An analysis of the earnings ratio helps the management, investors and creditors to know the performance of the bank. They can get information regarding their interest. The following ratios help the management and other stakeholder to know about the earning policy of the respective banks.</w:t>
      </w:r>
    </w:p>
    <w:p w:rsidR="00D7531F" w:rsidRDefault="00DA4DD8" w:rsidP="00D7531F">
      <w:pPr>
        <w:numPr>
          <w:ilvl w:val="0"/>
          <w:numId w:val="16"/>
        </w:numPr>
        <w:tabs>
          <w:tab w:val="center" w:pos="180"/>
          <w:tab w:val="center" w:pos="630"/>
          <w:tab w:val="center" w:pos="720"/>
          <w:tab w:val="left" w:pos="1170"/>
          <w:tab w:val="center" w:pos="1620"/>
        </w:tabs>
        <w:spacing w:after="120" w:line="360" w:lineRule="auto"/>
        <w:jc w:val="both"/>
        <w:rPr>
          <w:rFonts w:ascii="Times New Roman" w:hAnsi="Times New Roman"/>
        </w:rPr>
      </w:pPr>
      <w:r w:rsidRPr="00D7531F">
        <w:rPr>
          <w:rFonts w:ascii="Times New Roman" w:hAnsi="Times New Roman"/>
        </w:rPr>
        <w:t>Return on equity (ROE)</w:t>
      </w:r>
    </w:p>
    <w:p w:rsidR="00DA4DD8" w:rsidRPr="00D7531F" w:rsidRDefault="00DA4DD8" w:rsidP="00D7531F">
      <w:pPr>
        <w:numPr>
          <w:ilvl w:val="0"/>
          <w:numId w:val="16"/>
        </w:numPr>
        <w:tabs>
          <w:tab w:val="center" w:pos="180"/>
          <w:tab w:val="center" w:pos="630"/>
          <w:tab w:val="center" w:pos="720"/>
          <w:tab w:val="left" w:pos="1170"/>
          <w:tab w:val="center" w:pos="1620"/>
        </w:tabs>
        <w:spacing w:after="120" w:line="360" w:lineRule="auto"/>
        <w:jc w:val="both"/>
        <w:rPr>
          <w:rFonts w:ascii="Times New Roman" w:hAnsi="Times New Roman"/>
        </w:rPr>
      </w:pPr>
      <w:r w:rsidRPr="00D7531F">
        <w:rPr>
          <w:rFonts w:ascii="Times New Roman" w:hAnsi="Times New Roman"/>
        </w:rPr>
        <w:t>Return on Assets (ROA)</w:t>
      </w:r>
    </w:p>
    <w:p w:rsidR="00DA4DD8" w:rsidRPr="00F578A3" w:rsidRDefault="00DA4DD8" w:rsidP="00D7531F">
      <w:pPr>
        <w:numPr>
          <w:ilvl w:val="0"/>
          <w:numId w:val="16"/>
        </w:numPr>
        <w:tabs>
          <w:tab w:val="center" w:pos="180"/>
          <w:tab w:val="center" w:pos="360"/>
          <w:tab w:val="center" w:pos="630"/>
          <w:tab w:val="center" w:pos="720"/>
          <w:tab w:val="center" w:pos="1170"/>
          <w:tab w:val="center" w:pos="1620"/>
        </w:tabs>
        <w:spacing w:after="120" w:line="360" w:lineRule="auto"/>
        <w:jc w:val="both"/>
        <w:rPr>
          <w:rFonts w:ascii="Times New Roman" w:hAnsi="Times New Roman"/>
        </w:rPr>
      </w:pPr>
      <w:r w:rsidRPr="00F578A3">
        <w:rPr>
          <w:rFonts w:ascii="Times New Roman" w:hAnsi="Times New Roman"/>
        </w:rPr>
        <w:t>Earnings per Share (EPS)</w:t>
      </w:r>
    </w:p>
    <w:p w:rsidR="00DA4DD8" w:rsidRPr="00F578A3" w:rsidRDefault="00DA4DD8" w:rsidP="00FD1AA2">
      <w:pPr>
        <w:spacing w:after="240" w:line="360" w:lineRule="auto"/>
        <w:jc w:val="both"/>
        <w:rPr>
          <w:rFonts w:ascii="Times New Roman" w:hAnsi="Times New Roman"/>
        </w:rPr>
      </w:pPr>
      <w:r w:rsidRPr="00F578A3">
        <w:rPr>
          <w:rFonts w:ascii="Times New Roman" w:hAnsi="Times New Roman"/>
        </w:rPr>
        <w:t>It measures the profit available to the equity shareholders as per share basis i.e. the amount that they can get on each share held. In other words, the ratio measures the earnings available to equity shareholders on a per share basis. An institution’s assets quality has a close relationship to the analysis of earnings quality. Poor assets quality may increase the loan loss provision.</w:t>
      </w:r>
    </w:p>
    <w:p w:rsidR="00DA4DD8" w:rsidRPr="002D4080" w:rsidRDefault="00DA4DD8" w:rsidP="00FD1AA2">
      <w:pPr>
        <w:spacing w:after="240" w:line="360" w:lineRule="auto"/>
        <w:jc w:val="both"/>
        <w:rPr>
          <w:rFonts w:ascii="Times New Roman" w:hAnsi="Times New Roman"/>
          <w:b/>
          <w:sz w:val="28"/>
        </w:rPr>
      </w:pPr>
      <w:r w:rsidRPr="002D4080">
        <w:rPr>
          <w:rFonts w:ascii="Times New Roman" w:hAnsi="Times New Roman"/>
          <w:b/>
          <w:sz w:val="28"/>
        </w:rPr>
        <w:t>Rating the Earning Factor</w:t>
      </w:r>
    </w:p>
    <w:p w:rsidR="00DA4DD8" w:rsidRPr="00F578A3" w:rsidRDefault="00DA4DD8" w:rsidP="00FD1AA2">
      <w:pPr>
        <w:numPr>
          <w:ilvl w:val="0"/>
          <w:numId w:val="17"/>
        </w:numPr>
        <w:tabs>
          <w:tab w:val="center" w:pos="270"/>
        </w:tabs>
        <w:spacing w:after="240" w:line="360" w:lineRule="auto"/>
        <w:jc w:val="both"/>
        <w:rPr>
          <w:rFonts w:ascii="Times New Roman" w:hAnsi="Times New Roman"/>
        </w:rPr>
      </w:pPr>
      <w:r w:rsidRPr="00F578A3">
        <w:rPr>
          <w:rFonts w:ascii="Times New Roman" w:hAnsi="Times New Roman"/>
        </w:rPr>
        <w:t xml:space="preserve">Earning rated 1 is strong. Earning are more than sufficient to support operations and maintain adequate capital and allowance levels after are given to assets </w:t>
      </w:r>
      <w:r w:rsidRPr="00F578A3">
        <w:rPr>
          <w:rFonts w:ascii="Times New Roman" w:hAnsi="Times New Roman"/>
        </w:rPr>
        <w:lastRenderedPageBreak/>
        <w:t>quality, growth and other factors affecting the quality, quantity and trend of earnings.</w:t>
      </w:r>
    </w:p>
    <w:p w:rsidR="00DA4DD8" w:rsidRPr="00F578A3" w:rsidRDefault="00DA4DD8" w:rsidP="00D7531F">
      <w:pPr>
        <w:numPr>
          <w:ilvl w:val="0"/>
          <w:numId w:val="17"/>
        </w:numPr>
        <w:spacing w:after="240" w:line="360" w:lineRule="auto"/>
        <w:jc w:val="both"/>
        <w:rPr>
          <w:rFonts w:ascii="Times New Roman" w:hAnsi="Times New Roman"/>
        </w:rPr>
      </w:pPr>
      <w:r w:rsidRPr="00F578A3">
        <w:rPr>
          <w:rFonts w:ascii="Times New Roman" w:hAnsi="Times New Roman"/>
        </w:rPr>
        <w:t xml:space="preserve">Earning rated 2 would be satisfactory and sufficient support operations and maintain adequate and allowances levels after consideration is given to asset quality, growth and other factors affecting the quality, quantity and trend of earnings. Earning that are relatively static or even experiencing a slight decline, may receive a 2 rating provide the institutions level of earnings is adequate in view  of the assessment factors listed above. </w:t>
      </w:r>
    </w:p>
    <w:p w:rsidR="00DA4DD8" w:rsidRPr="00F578A3" w:rsidRDefault="00DA4DD8" w:rsidP="00D7531F">
      <w:pPr>
        <w:numPr>
          <w:ilvl w:val="0"/>
          <w:numId w:val="17"/>
        </w:numPr>
        <w:spacing w:after="240" w:line="360" w:lineRule="auto"/>
        <w:jc w:val="both"/>
        <w:rPr>
          <w:rFonts w:ascii="Times New Roman" w:hAnsi="Times New Roman"/>
        </w:rPr>
      </w:pPr>
      <w:r w:rsidRPr="00F578A3">
        <w:rPr>
          <w:rFonts w:ascii="Times New Roman" w:hAnsi="Times New Roman"/>
        </w:rPr>
        <w:t>Earning rated 3 may need to improve. Earnings may not fully support operations and provide for the accretion of capital and allowance levels in relation to the institutions overall condition, growth and other factors affecting the quality, quantity and trend of earnings.</w:t>
      </w:r>
    </w:p>
    <w:p w:rsidR="00DA4DD8" w:rsidRPr="00F578A3" w:rsidRDefault="00DA4DD8" w:rsidP="00D7531F">
      <w:pPr>
        <w:numPr>
          <w:ilvl w:val="0"/>
          <w:numId w:val="17"/>
        </w:numPr>
        <w:spacing w:after="120" w:line="360" w:lineRule="auto"/>
        <w:jc w:val="both"/>
        <w:rPr>
          <w:rFonts w:ascii="Times New Roman" w:hAnsi="Times New Roman"/>
        </w:rPr>
      </w:pPr>
      <w:r w:rsidRPr="00F578A3">
        <w:rPr>
          <w:rFonts w:ascii="Times New Roman" w:hAnsi="Times New Roman"/>
        </w:rPr>
        <w:t>A rating 4 is the deficient earnings. Earnings are insufficient to support operations and maintain appropriate capital and allowances levels. Erratic Fluctuations in net income or net interest margin, the development of significant negative trends, nominal or unsustainable earnings, intermittent losses, or a substantive drop in earnings from the previous years may characterize institutions rated.</w:t>
      </w:r>
    </w:p>
    <w:p w:rsidR="00DA4DD8" w:rsidRPr="00F578A3" w:rsidRDefault="00DA4DD8" w:rsidP="00D7531F">
      <w:pPr>
        <w:numPr>
          <w:ilvl w:val="0"/>
          <w:numId w:val="17"/>
        </w:numPr>
        <w:spacing w:after="120" w:line="360" w:lineRule="auto"/>
        <w:jc w:val="both"/>
        <w:rPr>
          <w:rFonts w:ascii="Times New Roman" w:hAnsi="Times New Roman"/>
        </w:rPr>
      </w:pPr>
      <w:r w:rsidRPr="00F578A3">
        <w:rPr>
          <w:rFonts w:ascii="Times New Roman" w:hAnsi="Times New Roman"/>
        </w:rPr>
        <w:t>A rating of 5 indicates earnings that are critically deficient. A FI with earnings rated 5 is experiencing losses that represent a distinct threat to its viability through the erosion of capital.</w:t>
      </w:r>
    </w:p>
    <w:p w:rsidR="00DA4DD8" w:rsidRPr="002D4080" w:rsidRDefault="00DA4DD8" w:rsidP="00FD1AA2">
      <w:pPr>
        <w:spacing w:after="240" w:line="360" w:lineRule="auto"/>
        <w:jc w:val="both"/>
        <w:rPr>
          <w:rFonts w:ascii="Times New Roman" w:hAnsi="Times New Roman"/>
          <w:b/>
          <w:sz w:val="28"/>
        </w:rPr>
      </w:pPr>
      <w:r w:rsidRPr="002D4080">
        <w:rPr>
          <w:rFonts w:ascii="Times New Roman" w:hAnsi="Times New Roman"/>
          <w:b/>
          <w:sz w:val="28"/>
        </w:rPr>
        <w:t>2.1.</w:t>
      </w:r>
      <w:r w:rsidR="00152068" w:rsidRPr="002D4080">
        <w:rPr>
          <w:rFonts w:ascii="Times New Roman" w:hAnsi="Times New Roman"/>
          <w:b/>
          <w:sz w:val="28"/>
        </w:rPr>
        <w:t>4</w:t>
      </w:r>
      <w:r w:rsidRPr="002D4080">
        <w:rPr>
          <w:rFonts w:ascii="Times New Roman" w:hAnsi="Times New Roman"/>
          <w:b/>
          <w:sz w:val="28"/>
        </w:rPr>
        <w:t>.5 Liquidity</w:t>
      </w:r>
    </w:p>
    <w:p w:rsidR="00DA4DD8" w:rsidRPr="00F578A3" w:rsidRDefault="00DA4DD8" w:rsidP="002C2C0F">
      <w:pPr>
        <w:spacing w:line="360" w:lineRule="auto"/>
        <w:jc w:val="both"/>
        <w:rPr>
          <w:rFonts w:ascii="Times New Roman" w:hAnsi="Times New Roman"/>
        </w:rPr>
      </w:pPr>
      <w:r w:rsidRPr="00F578A3">
        <w:rPr>
          <w:rFonts w:ascii="Times New Roman" w:hAnsi="Times New Roman"/>
        </w:rPr>
        <w:t>Simply, liquidity means short-run solvency of a firm. It reflects the short term financial strength of banks. Bank does not provide all deposit at loan and advances. The certain percentage of deposit should be kept in bank in the form of cash. If the bank will keep greater deposit in cash, it losses the opportunity cost. Similarly, if bank keeps low amount in deposit, it could be able to pay depositors on the time of requirement. Liquidity can be measured in following ways.</w:t>
      </w:r>
    </w:p>
    <w:p w:rsidR="00DA4DD8" w:rsidRPr="00F578A3" w:rsidRDefault="00DA4DD8" w:rsidP="002C2C0F">
      <w:pPr>
        <w:numPr>
          <w:ilvl w:val="0"/>
          <w:numId w:val="18"/>
        </w:numPr>
        <w:tabs>
          <w:tab w:val="left" w:pos="1080"/>
        </w:tabs>
        <w:spacing w:line="360" w:lineRule="auto"/>
        <w:ind w:firstLine="360"/>
        <w:jc w:val="both"/>
        <w:rPr>
          <w:rFonts w:ascii="Times New Roman" w:hAnsi="Times New Roman"/>
        </w:rPr>
      </w:pPr>
      <w:r w:rsidRPr="00F578A3">
        <w:rPr>
          <w:rFonts w:ascii="Times New Roman" w:hAnsi="Times New Roman"/>
        </w:rPr>
        <w:t>NRB Balance with Total Deposit Ratio</w:t>
      </w:r>
    </w:p>
    <w:p w:rsidR="00DA4DD8" w:rsidRPr="00F578A3" w:rsidRDefault="00DA4DD8" w:rsidP="002C2C0F">
      <w:pPr>
        <w:numPr>
          <w:ilvl w:val="0"/>
          <w:numId w:val="18"/>
        </w:numPr>
        <w:tabs>
          <w:tab w:val="left" w:pos="1080"/>
        </w:tabs>
        <w:spacing w:line="360" w:lineRule="auto"/>
        <w:ind w:firstLine="360"/>
        <w:jc w:val="both"/>
        <w:rPr>
          <w:rFonts w:ascii="Times New Roman" w:hAnsi="Times New Roman"/>
        </w:rPr>
      </w:pPr>
      <w:r w:rsidRPr="00F578A3">
        <w:rPr>
          <w:rFonts w:ascii="Times New Roman" w:hAnsi="Times New Roman"/>
        </w:rPr>
        <w:t>Cash and Bank Balance Ratio</w:t>
      </w:r>
    </w:p>
    <w:p w:rsidR="00DA4DD8" w:rsidRPr="00F578A3" w:rsidRDefault="00DA4DD8" w:rsidP="002C2C0F">
      <w:pPr>
        <w:numPr>
          <w:ilvl w:val="0"/>
          <w:numId w:val="18"/>
        </w:numPr>
        <w:tabs>
          <w:tab w:val="left" w:pos="1080"/>
        </w:tabs>
        <w:spacing w:line="360" w:lineRule="auto"/>
        <w:ind w:firstLine="360"/>
        <w:jc w:val="both"/>
        <w:rPr>
          <w:rFonts w:ascii="Times New Roman" w:hAnsi="Times New Roman"/>
        </w:rPr>
      </w:pPr>
      <w:r w:rsidRPr="00F578A3">
        <w:rPr>
          <w:rFonts w:ascii="Times New Roman" w:hAnsi="Times New Roman"/>
        </w:rPr>
        <w:t>Investment in Government Securities</w:t>
      </w:r>
      <w:r w:rsidR="00152068">
        <w:rPr>
          <w:rFonts w:ascii="Times New Roman" w:hAnsi="Times New Roman"/>
        </w:rPr>
        <w:t xml:space="preserve"> Ratio</w:t>
      </w:r>
      <w:r w:rsidRPr="00F578A3">
        <w:rPr>
          <w:rFonts w:ascii="Times New Roman" w:hAnsi="Times New Roman"/>
        </w:rPr>
        <w:t>.</w:t>
      </w:r>
    </w:p>
    <w:p w:rsidR="00DA4DD8" w:rsidRPr="002D4080" w:rsidRDefault="00DA4DD8" w:rsidP="00FD1AA2">
      <w:pPr>
        <w:tabs>
          <w:tab w:val="center" w:pos="1530"/>
        </w:tabs>
        <w:spacing w:after="240" w:line="360" w:lineRule="auto"/>
        <w:jc w:val="both"/>
        <w:rPr>
          <w:rFonts w:ascii="Times New Roman" w:hAnsi="Times New Roman"/>
          <w:b/>
          <w:sz w:val="28"/>
        </w:rPr>
      </w:pPr>
      <w:r w:rsidRPr="002D4080">
        <w:rPr>
          <w:rFonts w:ascii="Times New Roman" w:hAnsi="Times New Roman"/>
          <w:b/>
          <w:sz w:val="28"/>
        </w:rPr>
        <w:lastRenderedPageBreak/>
        <w:t>Rating the Liquidity Factors</w:t>
      </w:r>
    </w:p>
    <w:p w:rsidR="00DA4DD8" w:rsidRPr="00F578A3" w:rsidRDefault="00DA4DD8" w:rsidP="00FD1AA2">
      <w:pPr>
        <w:numPr>
          <w:ilvl w:val="0"/>
          <w:numId w:val="19"/>
        </w:numPr>
        <w:tabs>
          <w:tab w:val="center" w:pos="360"/>
          <w:tab w:val="center" w:pos="1530"/>
        </w:tabs>
        <w:spacing w:after="240" w:line="360" w:lineRule="auto"/>
        <w:jc w:val="both"/>
        <w:rPr>
          <w:rFonts w:ascii="Times New Roman" w:hAnsi="Times New Roman"/>
        </w:rPr>
      </w:pPr>
      <w:r w:rsidRPr="00F578A3">
        <w:rPr>
          <w:rFonts w:ascii="Times New Roman" w:hAnsi="Times New Roman"/>
        </w:rPr>
        <w:t>A rating of 1 indicates strong liquidity position and well developed funds management practices. The institution has reliable access to sufficient sources of funds on favorable terms to meet present and anticipated liquidity needs.</w:t>
      </w:r>
    </w:p>
    <w:p w:rsidR="00DA4DD8" w:rsidRPr="00F578A3" w:rsidRDefault="00DA4DD8" w:rsidP="00FD1AA2">
      <w:pPr>
        <w:numPr>
          <w:ilvl w:val="0"/>
          <w:numId w:val="19"/>
        </w:numPr>
        <w:tabs>
          <w:tab w:val="center" w:pos="360"/>
          <w:tab w:val="center" w:pos="1530"/>
        </w:tabs>
        <w:spacing w:after="240" w:line="360" w:lineRule="auto"/>
        <w:jc w:val="both"/>
        <w:rPr>
          <w:rFonts w:ascii="Times New Roman" w:hAnsi="Times New Roman"/>
        </w:rPr>
      </w:pPr>
      <w:r w:rsidRPr="00F578A3">
        <w:rPr>
          <w:rFonts w:ascii="Times New Roman" w:hAnsi="Times New Roman"/>
        </w:rPr>
        <w:t>A rating of 2 indicates satisfactory liquidity levels and fund management practices. The institution has access to sufficient sources of funds on acceptable terms to meet present and anticipated liquidity needs. Modest weakness may be evident in funds management practice.</w:t>
      </w:r>
    </w:p>
    <w:p w:rsidR="00DA4DD8" w:rsidRPr="00F578A3" w:rsidRDefault="00DA4DD8" w:rsidP="00FD1AA2">
      <w:pPr>
        <w:numPr>
          <w:ilvl w:val="0"/>
          <w:numId w:val="19"/>
        </w:numPr>
        <w:tabs>
          <w:tab w:val="center" w:pos="360"/>
          <w:tab w:val="center" w:pos="1530"/>
        </w:tabs>
        <w:spacing w:after="240" w:line="360" w:lineRule="auto"/>
        <w:jc w:val="both"/>
        <w:rPr>
          <w:rFonts w:ascii="Times New Roman" w:hAnsi="Times New Roman"/>
        </w:rPr>
      </w:pPr>
      <w:r w:rsidRPr="00F578A3">
        <w:rPr>
          <w:rFonts w:ascii="Times New Roman" w:hAnsi="Times New Roman"/>
        </w:rPr>
        <w:t>A rating of 3 indicates liquidity levels or funds management practices in need of improvement. Institutions rated 3 may lack ready access to funds on reasonable terms or may evidence significant weakness in funds management practices.</w:t>
      </w:r>
    </w:p>
    <w:p w:rsidR="00DA4DD8" w:rsidRPr="00F578A3" w:rsidRDefault="00DA4DD8" w:rsidP="00FD1AA2">
      <w:pPr>
        <w:numPr>
          <w:ilvl w:val="0"/>
          <w:numId w:val="19"/>
        </w:numPr>
        <w:tabs>
          <w:tab w:val="center" w:pos="360"/>
          <w:tab w:val="center" w:pos="1530"/>
        </w:tabs>
        <w:spacing w:after="240" w:line="360" w:lineRule="auto"/>
        <w:jc w:val="both"/>
        <w:rPr>
          <w:rFonts w:ascii="Times New Roman" w:hAnsi="Times New Roman"/>
        </w:rPr>
      </w:pPr>
      <w:r w:rsidRPr="00F578A3">
        <w:rPr>
          <w:rFonts w:ascii="Times New Roman" w:hAnsi="Times New Roman"/>
        </w:rPr>
        <w:t>A rating of 4 indicates deficient liquidity levels or inadequate funds management practices. Institutions rated 4 may not have or be able to obtain a sufficient volume of funds on reasonable terms to meet needs.</w:t>
      </w:r>
    </w:p>
    <w:p w:rsidR="00DA4DD8" w:rsidRPr="00F578A3" w:rsidRDefault="00DA4DD8" w:rsidP="00FD1AA2">
      <w:pPr>
        <w:numPr>
          <w:ilvl w:val="0"/>
          <w:numId w:val="19"/>
        </w:numPr>
        <w:tabs>
          <w:tab w:val="center" w:pos="360"/>
          <w:tab w:val="center" w:pos="1530"/>
        </w:tabs>
        <w:spacing w:after="240" w:line="360" w:lineRule="auto"/>
        <w:jc w:val="both"/>
        <w:rPr>
          <w:rFonts w:ascii="Times New Roman" w:hAnsi="Times New Roman"/>
        </w:rPr>
      </w:pPr>
      <w:r w:rsidRPr="00F578A3">
        <w:rPr>
          <w:rFonts w:ascii="Times New Roman" w:hAnsi="Times New Roman"/>
        </w:rPr>
        <w:t>A rating of 5 indicates liquidity levels of funds management practices so critically deficient that the continued viability of the institution is threatened. Institutions rated 5 require immediate external financial assistance to meet maturing obligations or other liquidity needs.</w:t>
      </w:r>
    </w:p>
    <w:p w:rsidR="00DA4DD8" w:rsidRPr="002D4080" w:rsidRDefault="00D7531F" w:rsidP="00D7531F">
      <w:pPr>
        <w:tabs>
          <w:tab w:val="center" w:pos="360"/>
        </w:tabs>
        <w:spacing w:after="240" w:line="360" w:lineRule="auto"/>
        <w:jc w:val="both"/>
        <w:rPr>
          <w:rFonts w:ascii="Times New Roman" w:hAnsi="Times New Roman"/>
          <w:b/>
          <w:sz w:val="28"/>
        </w:rPr>
      </w:pPr>
      <w:r w:rsidRPr="002D4080">
        <w:rPr>
          <w:rFonts w:ascii="Times New Roman" w:hAnsi="Times New Roman"/>
          <w:b/>
          <w:sz w:val="28"/>
        </w:rPr>
        <w:t>2.1.5</w:t>
      </w:r>
      <w:r w:rsidRPr="002D4080">
        <w:rPr>
          <w:rFonts w:ascii="Times New Roman" w:hAnsi="Times New Roman"/>
          <w:b/>
          <w:sz w:val="28"/>
        </w:rPr>
        <w:tab/>
      </w:r>
      <w:r w:rsidR="00DA4DD8" w:rsidRPr="002D4080">
        <w:rPr>
          <w:rFonts w:ascii="Times New Roman" w:hAnsi="Times New Roman"/>
          <w:b/>
          <w:sz w:val="28"/>
        </w:rPr>
        <w:t>BASEL Capital Accord</w:t>
      </w:r>
    </w:p>
    <w:p w:rsidR="00DA4DD8" w:rsidRPr="00F578A3" w:rsidRDefault="00DA4DD8" w:rsidP="00FD1AA2">
      <w:pPr>
        <w:tabs>
          <w:tab w:val="center" w:pos="360"/>
        </w:tabs>
        <w:spacing w:after="240" w:line="360" w:lineRule="auto"/>
        <w:jc w:val="both"/>
        <w:rPr>
          <w:rFonts w:ascii="Times New Roman" w:hAnsi="Times New Roman"/>
        </w:rPr>
      </w:pPr>
      <w:r w:rsidRPr="00F578A3">
        <w:rPr>
          <w:rFonts w:ascii="Times New Roman" w:hAnsi="Times New Roman"/>
        </w:rPr>
        <w:t>The BASEL committee on banking supervision (BCBS) is a committee of banking supervisory authorities that was established by central bank governors of the group of ten countries in 1975. It consists of senior representatives of bank supervisory authorities and central banks from Belgium, Canada, France, Germany, Italy, Japan, Luxemburg, the Netherlands, Spain, Sweden, Switzerland, the United Kingdom and the United States. It usually meets at the bank for international settlement (BIS) in BASEL, where it’s permanent is located (BIS; II-2005:45).</w:t>
      </w:r>
    </w:p>
    <w:p w:rsidR="00DA4DD8" w:rsidRPr="00F578A3" w:rsidRDefault="00DA4DD8" w:rsidP="00FD1AA2">
      <w:pPr>
        <w:tabs>
          <w:tab w:val="center" w:pos="360"/>
        </w:tabs>
        <w:spacing w:after="240" w:line="360" w:lineRule="auto"/>
        <w:jc w:val="both"/>
        <w:rPr>
          <w:rFonts w:ascii="Times New Roman" w:hAnsi="Times New Roman"/>
        </w:rPr>
      </w:pPr>
      <w:r w:rsidRPr="00F578A3">
        <w:rPr>
          <w:rFonts w:ascii="Times New Roman" w:hAnsi="Times New Roman"/>
        </w:rPr>
        <w:t xml:space="preserve">Starting with its publication of “International Convergence of Capital Measurement and Capital Standards “in July 1998, popularly known as BASEL I “Capital Accord, </w:t>
      </w:r>
      <w:r w:rsidRPr="00F578A3">
        <w:rPr>
          <w:rFonts w:ascii="Times New Roman" w:hAnsi="Times New Roman"/>
        </w:rPr>
        <w:lastRenderedPageBreak/>
        <w:t>BCBS set out a minimum capital requirement of 8 percent for banks. Prior to that, the committee introduced 25 core principal on effective banking supervision. In 1996, the committee incorporated market risk in the 1988 capital accord. With a major revision of the 1988 accord, there followed by the revised publication of the committees first round of proposals for revising the capital adequacy framework in June 1999 popularly known as BASEL II Capital accord. Since then it is revised in January 2001, April 2003 and released its final revised framework updated in November 2005. In this accord, the concept and rationale of the three pillars (minimum capital requirements, supervisory review and market discipline) approach was introduced, on which the revised framework is based. In the revised framework, BCBS retains key elements of the 1988 capital adequacy framework, including  the general requirement for banks to hold total capital equivalent to at least 8 percent of their risk weighted assets; the basis of structure of the 1996 market risk amendment regarding the treatment of market risk; and definition of eligible capital”( BIS; II-2005:45)</w:t>
      </w:r>
      <w:r w:rsidR="00A14C37">
        <w:rPr>
          <w:rFonts w:ascii="Times New Roman" w:hAnsi="Times New Roman"/>
        </w:rPr>
        <w:t>.</w:t>
      </w:r>
    </w:p>
    <w:p w:rsidR="00DA4DD8" w:rsidRPr="00F578A3" w:rsidRDefault="00DA4DD8" w:rsidP="00FD1AA2">
      <w:pPr>
        <w:tabs>
          <w:tab w:val="center" w:pos="360"/>
        </w:tabs>
        <w:spacing w:after="240" w:line="360" w:lineRule="auto"/>
        <w:jc w:val="both"/>
        <w:rPr>
          <w:rFonts w:ascii="Times New Roman" w:hAnsi="Times New Roman"/>
        </w:rPr>
      </w:pPr>
      <w:r w:rsidRPr="00F578A3">
        <w:rPr>
          <w:rFonts w:ascii="Times New Roman" w:hAnsi="Times New Roman"/>
        </w:rPr>
        <w:t xml:space="preserve">The new BASEL capital accord (BASEL II), shall be applicable to internally active banks all over the world with effect from end of 2006. Implement the new accord in Nepal has been a challenging task for the supervisors as well as FIs. Hence, certain preparatory homework is needed to Nepalese financial system to implement BASEL II. NRB and FIs need to have coordinated effort efficiency in Nepalese banks and FIs to establish certain baseline for the effective implementation of BASEL II. In this regard, second interaction program was held in Nepal with the bank executive to make them aware of new development. The commercial banks so far has shown positive attitude towards the implementation of BASEL II. “New capital accord implementation preparatory core committee was drafted “NR’s concept paper on new capital accord”. According to the program of new capital accord implementation, concept paper was forwarded to all the commercial banks for comments and recommendation. A form was also developed so that commercial banks classified their exposure as per the new approach, which was reviewed by the “BASEL II Implementation working group”. NRB has adopted BASEL core principles for effective supervision as guideline for supervision of commercial banks. Core principle methodology adopted by BCBS provides a uniform template for both self assessment and independent assessment. It involves four parts of qualitative assessment system: </w:t>
      </w:r>
      <w:r w:rsidRPr="00F578A3">
        <w:rPr>
          <w:rFonts w:ascii="Times New Roman" w:hAnsi="Times New Roman"/>
        </w:rPr>
        <w:lastRenderedPageBreak/>
        <w:t>compliant, largely compliant, and materially non compliant and non compliant.  For each principle essential and additional criteria are defined. To achieve a “compliant “assessment with a principle, all essential and additional criteria must be met without any significant deficiencies. A “largely compliant “assessment is given if only minor shortcomings are observed, and these are not seen as sufficient to raise serious doubts about the authority’s ability to achieve the objective of the principle. A materially non compliant assessment is given when the shortcoming is sufficient to raise doubts about the authority’s ability to achieve compliance, but substantial progress towards compliance has been achieved.</w:t>
      </w:r>
    </w:p>
    <w:p w:rsidR="00DA4DD8" w:rsidRPr="00F578A3" w:rsidRDefault="00DA4DD8" w:rsidP="00FD1AA2">
      <w:pPr>
        <w:tabs>
          <w:tab w:val="center" w:pos="360"/>
        </w:tabs>
        <w:spacing w:after="240" w:line="360" w:lineRule="auto"/>
        <w:jc w:val="both"/>
        <w:rPr>
          <w:rFonts w:ascii="Times New Roman" w:hAnsi="Times New Roman"/>
        </w:rPr>
      </w:pPr>
      <w:r w:rsidRPr="00F578A3">
        <w:rPr>
          <w:rFonts w:ascii="Times New Roman" w:hAnsi="Times New Roman"/>
        </w:rPr>
        <w:t>There is no doubt that the new accord though complex carries a lot of virtues and will be a milestone in improving banks internal mechanism and supervisory process and beneficial to the commercial banks.</w:t>
      </w:r>
    </w:p>
    <w:p w:rsidR="00DA4DD8" w:rsidRPr="002D4080" w:rsidRDefault="00DA4DD8" w:rsidP="00FD1AA2">
      <w:pPr>
        <w:tabs>
          <w:tab w:val="center" w:pos="360"/>
        </w:tabs>
        <w:spacing w:after="240" w:line="360" w:lineRule="auto"/>
        <w:jc w:val="both"/>
        <w:rPr>
          <w:rFonts w:ascii="Times New Roman" w:hAnsi="Times New Roman"/>
          <w:b/>
          <w:sz w:val="28"/>
        </w:rPr>
      </w:pPr>
      <w:r w:rsidRPr="002D4080">
        <w:rPr>
          <w:rFonts w:ascii="Times New Roman" w:hAnsi="Times New Roman"/>
          <w:b/>
          <w:sz w:val="28"/>
        </w:rPr>
        <w:t xml:space="preserve">2.2 </w:t>
      </w:r>
      <w:r w:rsidR="00C97079" w:rsidRPr="002D4080">
        <w:rPr>
          <w:rFonts w:ascii="Times New Roman" w:hAnsi="Times New Roman"/>
          <w:b/>
          <w:sz w:val="28"/>
        </w:rPr>
        <w:tab/>
      </w:r>
      <w:r w:rsidRPr="002D4080">
        <w:rPr>
          <w:rFonts w:ascii="Times New Roman" w:hAnsi="Times New Roman"/>
          <w:b/>
          <w:sz w:val="28"/>
        </w:rPr>
        <w:t>Review of NRB Directives</w:t>
      </w:r>
    </w:p>
    <w:p w:rsidR="00DA4DD8" w:rsidRPr="00F578A3" w:rsidRDefault="00DA4DD8" w:rsidP="00FD1AA2">
      <w:pPr>
        <w:tabs>
          <w:tab w:val="center" w:pos="360"/>
        </w:tabs>
        <w:spacing w:after="240" w:line="360" w:lineRule="auto"/>
        <w:jc w:val="both"/>
        <w:rPr>
          <w:rFonts w:ascii="Times New Roman" w:hAnsi="Times New Roman"/>
        </w:rPr>
      </w:pPr>
      <w:r w:rsidRPr="00F578A3">
        <w:rPr>
          <w:rFonts w:ascii="Times New Roman" w:hAnsi="Times New Roman"/>
        </w:rPr>
        <w:t>NRB Directives associated with CAMEL study can be described in the following manner.</w:t>
      </w:r>
    </w:p>
    <w:p w:rsidR="00DA4DD8" w:rsidRPr="002D4080" w:rsidRDefault="00DA4DD8" w:rsidP="00FD1AA2">
      <w:pPr>
        <w:tabs>
          <w:tab w:val="center" w:pos="360"/>
        </w:tabs>
        <w:spacing w:after="240" w:line="360" w:lineRule="auto"/>
        <w:jc w:val="both"/>
        <w:rPr>
          <w:rFonts w:ascii="Times New Roman" w:hAnsi="Times New Roman"/>
          <w:b/>
          <w:sz w:val="28"/>
        </w:rPr>
      </w:pPr>
      <w:r w:rsidRPr="002D4080">
        <w:rPr>
          <w:rFonts w:ascii="Times New Roman" w:hAnsi="Times New Roman"/>
          <w:b/>
          <w:sz w:val="28"/>
        </w:rPr>
        <w:t>2.2.1 Capital Adequacy Norms by NRB</w:t>
      </w:r>
    </w:p>
    <w:p w:rsidR="00DA4DD8" w:rsidRPr="007A5296" w:rsidRDefault="00DA4DD8" w:rsidP="00FD1AA2">
      <w:pPr>
        <w:tabs>
          <w:tab w:val="center" w:pos="360"/>
        </w:tabs>
        <w:spacing w:after="240" w:line="360" w:lineRule="auto"/>
        <w:jc w:val="both"/>
        <w:rPr>
          <w:rFonts w:ascii="Times New Roman" w:hAnsi="Times New Roman"/>
        </w:rPr>
      </w:pPr>
      <w:r w:rsidRPr="00F578A3">
        <w:rPr>
          <w:rFonts w:ascii="Times New Roman" w:hAnsi="Times New Roman"/>
        </w:rPr>
        <w:t>NRB has form time to time stipulated minimum capital fund to be maintained by the banks on the basis of risk weighted assets. The total capital fund is sum of core capital and supplementary capital. According to the NRB unified Directives for banks and non bank FIs issue number E.pra.ni.no.01/061/062 (</w:t>
      </w:r>
      <w:r w:rsidRPr="007A5296">
        <w:rPr>
          <w:rFonts w:ascii="Times New Roman" w:hAnsi="Times New Roman"/>
        </w:rPr>
        <w:t xml:space="preserve">Ashar 2062 Bs), the capital funds of a bank comprise the following </w:t>
      </w:r>
      <w:r w:rsidRPr="002D4080">
        <w:rPr>
          <w:rFonts w:ascii="Times New Roman" w:hAnsi="Times New Roman"/>
        </w:rPr>
        <w:t>(</w:t>
      </w:r>
      <w:hyperlink r:id="rId9" w:history="1">
        <w:r w:rsidRPr="002D4080">
          <w:rPr>
            <w:rStyle w:val="Hyperlink"/>
            <w:rFonts w:ascii="Times New Roman" w:hAnsi="Times New Roman"/>
            <w:color w:val="auto"/>
            <w:u w:val="none"/>
          </w:rPr>
          <w:t>www.nrb.org.np</w:t>
        </w:r>
      </w:hyperlink>
      <w:r w:rsidR="00963238">
        <w:rPr>
          <w:rFonts w:ascii="Times New Roman" w:hAnsi="Times New Roman"/>
        </w:rPr>
        <w:t>):</w:t>
      </w:r>
    </w:p>
    <w:p w:rsidR="00DA4DD8" w:rsidRPr="00F578A3" w:rsidRDefault="00DA4DD8" w:rsidP="00FD1AA2">
      <w:pPr>
        <w:tabs>
          <w:tab w:val="center" w:pos="360"/>
        </w:tabs>
        <w:spacing w:after="240" w:line="360" w:lineRule="auto"/>
        <w:jc w:val="both"/>
        <w:rPr>
          <w:rFonts w:ascii="Times New Roman" w:hAnsi="Times New Roman"/>
        </w:rPr>
      </w:pPr>
      <w:r w:rsidRPr="007A5296">
        <w:rPr>
          <w:rFonts w:ascii="Times New Roman" w:hAnsi="Times New Roman"/>
          <w:b/>
          <w:bCs/>
        </w:rPr>
        <w:t>Core Capital:</w:t>
      </w:r>
      <w:r w:rsidRPr="007A5296">
        <w:rPr>
          <w:rFonts w:ascii="Times New Roman" w:hAnsi="Times New Roman"/>
        </w:rPr>
        <w:t xml:space="preserve"> Core Capital of</w:t>
      </w:r>
      <w:r w:rsidRPr="00F578A3">
        <w:rPr>
          <w:rFonts w:ascii="Times New Roman" w:hAnsi="Times New Roman"/>
        </w:rPr>
        <w:t xml:space="preserve"> a bank includes paid up equity, share premium, non-redeemable preference shares, general reserve and accumulated profit and loss. However, where the amount of goodwill exists, the same shall be deducted for the purpose of calculation of the core capital.</w:t>
      </w:r>
    </w:p>
    <w:p w:rsidR="00DA4DD8" w:rsidRPr="00F578A3" w:rsidRDefault="00DA4DD8" w:rsidP="00FD1AA2">
      <w:pPr>
        <w:tabs>
          <w:tab w:val="center" w:pos="360"/>
        </w:tabs>
        <w:spacing w:after="240" w:line="360" w:lineRule="auto"/>
        <w:jc w:val="both"/>
        <w:rPr>
          <w:rFonts w:ascii="Times New Roman" w:hAnsi="Times New Roman"/>
        </w:rPr>
      </w:pPr>
      <w:r w:rsidRPr="00F578A3">
        <w:rPr>
          <w:rFonts w:ascii="Times New Roman" w:hAnsi="Times New Roman"/>
          <w:b/>
          <w:bCs/>
        </w:rPr>
        <w:t>Supplementary Capital:</w:t>
      </w:r>
      <w:r w:rsidRPr="00F578A3">
        <w:rPr>
          <w:rFonts w:ascii="Times New Roman" w:hAnsi="Times New Roman"/>
        </w:rPr>
        <w:t xml:space="preserve"> Supplementary capital includes general loan loss provision, exchange fluctuation reserve, assets revaluation reserve, hybrid capital instruments, </w:t>
      </w:r>
      <w:r w:rsidRPr="00F578A3">
        <w:rPr>
          <w:rFonts w:ascii="Times New Roman" w:hAnsi="Times New Roman"/>
        </w:rPr>
        <w:lastRenderedPageBreak/>
        <w:t>unsecured subordinated term debt and other free reserves not allocated for specific purpose.</w:t>
      </w:r>
    </w:p>
    <w:p w:rsidR="00DA4DD8" w:rsidRPr="00F578A3" w:rsidRDefault="00DA4DD8" w:rsidP="00FD1AA2">
      <w:pPr>
        <w:tabs>
          <w:tab w:val="center" w:pos="360"/>
        </w:tabs>
        <w:spacing w:after="240" w:line="360" w:lineRule="auto"/>
        <w:jc w:val="both"/>
        <w:rPr>
          <w:rFonts w:ascii="Times New Roman" w:hAnsi="Times New Roman"/>
        </w:rPr>
      </w:pPr>
      <w:r w:rsidRPr="00F578A3">
        <w:rPr>
          <w:rFonts w:ascii="Times New Roman" w:hAnsi="Times New Roman"/>
        </w:rPr>
        <w:t>Banking and financial institution ordinance (BAFIO, 2061) also assimilates the same things, which were included and explained in NRB Act 2058, in regard of bank capital. NRB act is effective from 1</w:t>
      </w:r>
      <w:r w:rsidRPr="00F578A3">
        <w:rPr>
          <w:rFonts w:ascii="Times New Roman" w:hAnsi="Times New Roman"/>
          <w:vertAlign w:val="superscript"/>
        </w:rPr>
        <w:t>st</w:t>
      </w:r>
      <w:r w:rsidRPr="00F578A3">
        <w:rPr>
          <w:rFonts w:ascii="Times New Roman" w:hAnsi="Times New Roman"/>
        </w:rPr>
        <w:t xml:space="preserve"> shrawan 2058 (July 16th 2001). According to the NRB Directive, minimum paid- up capital for requirement for establishment commercial bank is under.</w:t>
      </w:r>
    </w:p>
    <w:p w:rsidR="00DA4DD8" w:rsidRPr="00F578A3" w:rsidRDefault="00DA4DD8" w:rsidP="00FD1AA2">
      <w:pPr>
        <w:numPr>
          <w:ilvl w:val="0"/>
          <w:numId w:val="20"/>
        </w:numPr>
        <w:tabs>
          <w:tab w:val="center" w:pos="360"/>
        </w:tabs>
        <w:spacing w:after="240" w:line="360" w:lineRule="auto"/>
        <w:jc w:val="both"/>
        <w:rPr>
          <w:rFonts w:ascii="Times New Roman" w:hAnsi="Times New Roman"/>
        </w:rPr>
      </w:pPr>
      <w:r w:rsidRPr="00F578A3">
        <w:rPr>
          <w:rFonts w:ascii="Times New Roman" w:hAnsi="Times New Roman"/>
        </w:rPr>
        <w:t>Rs 250 million to operate all over Nepal except Kathmandu valley.</w:t>
      </w:r>
    </w:p>
    <w:p w:rsidR="00DA4DD8" w:rsidRPr="00F578A3" w:rsidRDefault="00DA4DD8" w:rsidP="00FD1AA2">
      <w:pPr>
        <w:numPr>
          <w:ilvl w:val="0"/>
          <w:numId w:val="20"/>
        </w:numPr>
        <w:tabs>
          <w:tab w:val="center" w:pos="360"/>
        </w:tabs>
        <w:spacing w:after="240" w:line="360" w:lineRule="auto"/>
        <w:jc w:val="both"/>
        <w:rPr>
          <w:rFonts w:ascii="Times New Roman" w:hAnsi="Times New Roman"/>
        </w:rPr>
      </w:pPr>
      <w:r w:rsidRPr="00F578A3">
        <w:rPr>
          <w:rFonts w:ascii="Times New Roman" w:hAnsi="Times New Roman"/>
        </w:rPr>
        <w:t>Rs 1000 million to operate all over Nepal.</w:t>
      </w:r>
    </w:p>
    <w:p w:rsidR="00DA4DD8" w:rsidRPr="00F578A3" w:rsidRDefault="00DA4DD8" w:rsidP="00FD1AA2">
      <w:pPr>
        <w:numPr>
          <w:ilvl w:val="0"/>
          <w:numId w:val="20"/>
        </w:numPr>
        <w:tabs>
          <w:tab w:val="center" w:pos="360"/>
        </w:tabs>
        <w:spacing w:after="240" w:line="360" w:lineRule="auto"/>
        <w:jc w:val="both"/>
        <w:rPr>
          <w:rFonts w:ascii="Times New Roman" w:hAnsi="Times New Roman"/>
        </w:rPr>
      </w:pPr>
      <w:r w:rsidRPr="00F578A3">
        <w:rPr>
          <w:rFonts w:ascii="Times New Roman" w:hAnsi="Times New Roman"/>
        </w:rPr>
        <w:t>All existing commercial banks are required to raise capital base to Rs 1000 million by mid July, 2009 through minimum 10 percent paid up capital increment every year.</w:t>
      </w:r>
    </w:p>
    <w:p w:rsidR="00DA4DD8" w:rsidRPr="002D4080" w:rsidRDefault="00DA4DD8" w:rsidP="00FD1AA2">
      <w:pPr>
        <w:tabs>
          <w:tab w:val="center" w:pos="360"/>
        </w:tabs>
        <w:spacing w:after="240" w:line="360" w:lineRule="auto"/>
        <w:jc w:val="both"/>
        <w:rPr>
          <w:rFonts w:ascii="Times New Roman" w:hAnsi="Times New Roman"/>
          <w:b/>
          <w:sz w:val="28"/>
        </w:rPr>
      </w:pPr>
      <w:r w:rsidRPr="002D4080">
        <w:rPr>
          <w:rFonts w:ascii="Times New Roman" w:hAnsi="Times New Roman"/>
          <w:b/>
          <w:sz w:val="28"/>
        </w:rPr>
        <w:t xml:space="preserve">2.2.2 </w:t>
      </w:r>
      <w:r w:rsidR="00D91846" w:rsidRPr="002D4080">
        <w:rPr>
          <w:rFonts w:ascii="Times New Roman" w:hAnsi="Times New Roman"/>
          <w:b/>
          <w:sz w:val="28"/>
        </w:rPr>
        <w:tab/>
      </w:r>
      <w:r w:rsidRPr="002D4080">
        <w:rPr>
          <w:rFonts w:ascii="Times New Roman" w:hAnsi="Times New Roman"/>
          <w:b/>
          <w:sz w:val="28"/>
        </w:rPr>
        <w:t>NRB Directives Related to Assets Quality</w:t>
      </w:r>
    </w:p>
    <w:p w:rsidR="00DA4DD8" w:rsidRPr="00F578A3" w:rsidRDefault="00DA4DD8" w:rsidP="00FD1AA2">
      <w:pPr>
        <w:tabs>
          <w:tab w:val="center" w:pos="360"/>
        </w:tabs>
        <w:spacing w:after="240" w:line="360" w:lineRule="auto"/>
        <w:jc w:val="both"/>
        <w:rPr>
          <w:rFonts w:ascii="Times New Roman" w:hAnsi="Times New Roman"/>
        </w:rPr>
      </w:pPr>
      <w:r w:rsidRPr="00F578A3">
        <w:rPr>
          <w:rFonts w:ascii="Times New Roman" w:hAnsi="Times New Roman"/>
        </w:rPr>
        <w:t>NRB unified directive for banks and non bank FIs (Ashar 2062 BS) through directive number E.para.Ni.no.02/061/62, requires the banks to classify outstanding loans and advance on the basis of aging of principal amount. As per the directive the loans and advances should be classified into the following four categories:</w:t>
      </w:r>
    </w:p>
    <w:p w:rsidR="00DA4DD8" w:rsidRPr="00F578A3" w:rsidRDefault="00DA4DD8" w:rsidP="00FD1AA2">
      <w:pPr>
        <w:tabs>
          <w:tab w:val="center" w:pos="360"/>
        </w:tabs>
        <w:spacing w:after="240" w:line="360" w:lineRule="auto"/>
        <w:jc w:val="both"/>
        <w:rPr>
          <w:rFonts w:ascii="Times New Roman" w:hAnsi="Times New Roman"/>
        </w:rPr>
      </w:pPr>
      <w:r w:rsidRPr="00F578A3">
        <w:rPr>
          <w:rFonts w:ascii="Times New Roman" w:hAnsi="Times New Roman"/>
          <w:b/>
        </w:rPr>
        <w:t>Pass:</w:t>
      </w:r>
      <w:r w:rsidRPr="00F578A3">
        <w:rPr>
          <w:rFonts w:ascii="Times New Roman" w:hAnsi="Times New Roman"/>
        </w:rPr>
        <w:t xml:space="preserve"> Loans and advances whose principal amount is not past due over for 3 months included in this category. These are classified and defined as performing loans.</w:t>
      </w:r>
    </w:p>
    <w:p w:rsidR="00DA4DD8" w:rsidRPr="00F578A3" w:rsidRDefault="00DA4DD8" w:rsidP="00FD1AA2">
      <w:pPr>
        <w:tabs>
          <w:tab w:val="center" w:pos="360"/>
        </w:tabs>
        <w:spacing w:after="240" w:line="360" w:lineRule="auto"/>
        <w:jc w:val="both"/>
        <w:rPr>
          <w:rFonts w:ascii="Times New Roman" w:hAnsi="Times New Roman"/>
        </w:rPr>
      </w:pPr>
      <w:r w:rsidRPr="00F578A3">
        <w:rPr>
          <w:rFonts w:ascii="Times New Roman" w:hAnsi="Times New Roman"/>
          <w:b/>
        </w:rPr>
        <w:t xml:space="preserve">Substandard: </w:t>
      </w:r>
      <w:r w:rsidRPr="00F578A3">
        <w:rPr>
          <w:rFonts w:ascii="Times New Roman" w:hAnsi="Times New Roman"/>
        </w:rPr>
        <w:t>All loan and advances that are past due for a period of 3 months to 6 months included in this category.</w:t>
      </w:r>
    </w:p>
    <w:p w:rsidR="00DA4DD8" w:rsidRPr="00F578A3" w:rsidRDefault="00DA4DD8" w:rsidP="00FD1AA2">
      <w:pPr>
        <w:tabs>
          <w:tab w:val="center" w:pos="360"/>
        </w:tabs>
        <w:spacing w:after="240" w:line="360" w:lineRule="auto"/>
        <w:jc w:val="both"/>
        <w:rPr>
          <w:rFonts w:ascii="Times New Roman" w:hAnsi="Times New Roman"/>
        </w:rPr>
      </w:pPr>
      <w:r w:rsidRPr="00F578A3">
        <w:rPr>
          <w:rFonts w:ascii="Times New Roman" w:hAnsi="Times New Roman"/>
          <w:b/>
        </w:rPr>
        <w:t xml:space="preserve">Doubtful: </w:t>
      </w:r>
      <w:r w:rsidRPr="00F578A3">
        <w:rPr>
          <w:rFonts w:ascii="Times New Roman" w:hAnsi="Times New Roman"/>
        </w:rPr>
        <w:t>All loans and advances, which are past due for a period of 6 months to 1 year, included in this category.</w:t>
      </w:r>
    </w:p>
    <w:p w:rsidR="00DA4DD8" w:rsidRPr="00F578A3" w:rsidRDefault="00DA4DD8" w:rsidP="00FD1AA2">
      <w:pPr>
        <w:tabs>
          <w:tab w:val="center" w:pos="360"/>
        </w:tabs>
        <w:spacing w:after="240" w:line="360" w:lineRule="auto"/>
        <w:jc w:val="both"/>
        <w:rPr>
          <w:rFonts w:ascii="Times New Roman" w:hAnsi="Times New Roman"/>
        </w:rPr>
      </w:pPr>
      <w:r w:rsidRPr="00F578A3">
        <w:rPr>
          <w:rFonts w:ascii="Times New Roman" w:hAnsi="Times New Roman"/>
          <w:b/>
        </w:rPr>
        <w:t xml:space="preserve">Loss: </w:t>
      </w:r>
      <w:r w:rsidRPr="00F578A3">
        <w:rPr>
          <w:rFonts w:ascii="Times New Roman" w:hAnsi="Times New Roman"/>
        </w:rPr>
        <w:t xml:space="preserve">All loans and advances which are past due for more than 1 year and have least or thin possibility of recovery or considered unrecoverable shall included in this category. Besides this, any loan whether past due or not, in situations of inadequate </w:t>
      </w:r>
      <w:r w:rsidRPr="00F578A3">
        <w:rPr>
          <w:rFonts w:ascii="Times New Roman" w:hAnsi="Times New Roman"/>
        </w:rPr>
        <w:lastRenderedPageBreak/>
        <w:t>security, borrower declared insolvent, no whereabouts of the borrower or misuse of borrowed fund, are to be classified as loss category.</w:t>
      </w:r>
    </w:p>
    <w:p w:rsidR="00DA4DD8" w:rsidRDefault="00DA4DD8" w:rsidP="00FD1AA2">
      <w:pPr>
        <w:tabs>
          <w:tab w:val="center" w:pos="360"/>
        </w:tabs>
        <w:spacing w:after="240" w:line="360" w:lineRule="auto"/>
        <w:jc w:val="both"/>
        <w:rPr>
          <w:rFonts w:ascii="Times New Roman" w:hAnsi="Times New Roman"/>
        </w:rPr>
      </w:pPr>
      <w:r w:rsidRPr="00F578A3">
        <w:rPr>
          <w:rFonts w:ascii="Times New Roman" w:hAnsi="Times New Roman"/>
        </w:rPr>
        <w:t>The directive further requires banks to provision for loan loss, on the basis of the outstanding loans and advances and bills purchased classified as above. Loan loss provision set aside for performing loans is defined as general loan loss provision and that set aside for non-performing loan as specific loan loss provision.</w:t>
      </w:r>
    </w:p>
    <w:p w:rsidR="002D4080" w:rsidRDefault="002D4080" w:rsidP="002D4080">
      <w:pPr>
        <w:tabs>
          <w:tab w:val="center" w:pos="360"/>
        </w:tabs>
        <w:spacing w:after="240" w:line="360" w:lineRule="auto"/>
        <w:jc w:val="center"/>
        <w:rPr>
          <w:rFonts w:ascii="Times New Roman" w:hAnsi="Times New Roman"/>
          <w:b/>
        </w:rPr>
      </w:pPr>
      <w:r>
        <w:rPr>
          <w:rFonts w:ascii="Times New Roman" w:hAnsi="Times New Roman"/>
          <w:b/>
        </w:rPr>
        <w:t xml:space="preserve">Table </w:t>
      </w:r>
      <w:r w:rsidR="00364562">
        <w:rPr>
          <w:rFonts w:ascii="Times New Roman" w:hAnsi="Times New Roman"/>
          <w:b/>
        </w:rPr>
        <w:t xml:space="preserve">: </w:t>
      </w:r>
      <w:r>
        <w:rPr>
          <w:rFonts w:ascii="Times New Roman" w:hAnsi="Times New Roman"/>
          <w:b/>
        </w:rPr>
        <w:t>2.2</w:t>
      </w:r>
    </w:p>
    <w:p w:rsidR="00C410EC" w:rsidRPr="00C410EC" w:rsidRDefault="00C410EC" w:rsidP="002D4080">
      <w:pPr>
        <w:tabs>
          <w:tab w:val="center" w:pos="360"/>
        </w:tabs>
        <w:spacing w:after="240" w:line="360" w:lineRule="auto"/>
        <w:jc w:val="center"/>
        <w:rPr>
          <w:rFonts w:ascii="Times New Roman" w:hAnsi="Times New Roman"/>
          <w:b/>
        </w:rPr>
      </w:pPr>
      <w:r w:rsidRPr="00C410EC">
        <w:rPr>
          <w:rFonts w:ascii="Times New Roman" w:hAnsi="Times New Roman"/>
          <w:b/>
        </w:rPr>
        <w:t xml:space="preserve">NRB Directives Related to Assets Quality </w:t>
      </w:r>
    </w:p>
    <w:tbl>
      <w:tblPr>
        <w:tblStyle w:val="TableGrid"/>
        <w:tblW w:w="0" w:type="auto"/>
        <w:tblLook w:val="04A0"/>
      </w:tblPr>
      <w:tblGrid>
        <w:gridCol w:w="4262"/>
        <w:gridCol w:w="4263"/>
      </w:tblGrid>
      <w:tr w:rsidR="002D4080" w:rsidTr="002D4080">
        <w:tc>
          <w:tcPr>
            <w:tcW w:w="4262" w:type="dxa"/>
          </w:tcPr>
          <w:p w:rsidR="002D4080" w:rsidRPr="002D4080" w:rsidRDefault="00B123B3" w:rsidP="002D4080">
            <w:pPr>
              <w:tabs>
                <w:tab w:val="center" w:pos="360"/>
              </w:tabs>
              <w:spacing w:line="360" w:lineRule="auto"/>
              <w:jc w:val="center"/>
              <w:rPr>
                <w:rFonts w:ascii="Times New Roman" w:hAnsi="Times New Roman"/>
                <w:b/>
              </w:rPr>
            </w:pPr>
            <w:r>
              <w:rPr>
                <w:rFonts w:ascii="Times New Roman" w:hAnsi="Times New Roman"/>
                <w:b/>
              </w:rPr>
              <w:t>Loan C</w:t>
            </w:r>
            <w:r w:rsidR="002D4080" w:rsidRPr="002D4080">
              <w:rPr>
                <w:rFonts w:ascii="Times New Roman" w:hAnsi="Times New Roman"/>
                <w:b/>
              </w:rPr>
              <w:t xml:space="preserve">lass                      </w:t>
            </w:r>
          </w:p>
        </w:tc>
        <w:tc>
          <w:tcPr>
            <w:tcW w:w="4263" w:type="dxa"/>
          </w:tcPr>
          <w:p w:rsidR="002D4080" w:rsidRPr="002D4080" w:rsidRDefault="00B123B3" w:rsidP="00B123B3">
            <w:pPr>
              <w:tabs>
                <w:tab w:val="center" w:pos="360"/>
              </w:tabs>
              <w:spacing w:line="360" w:lineRule="auto"/>
              <w:jc w:val="center"/>
              <w:rPr>
                <w:rFonts w:ascii="Times New Roman" w:hAnsi="Times New Roman"/>
                <w:b/>
              </w:rPr>
            </w:pPr>
            <w:r>
              <w:rPr>
                <w:rFonts w:ascii="Times New Roman" w:hAnsi="Times New Roman"/>
                <w:b/>
              </w:rPr>
              <w:t>Loan L</w:t>
            </w:r>
            <w:r w:rsidR="002D4080" w:rsidRPr="002D4080">
              <w:rPr>
                <w:rFonts w:ascii="Times New Roman" w:hAnsi="Times New Roman"/>
                <w:b/>
              </w:rPr>
              <w:t xml:space="preserve">oss </w:t>
            </w:r>
            <w:r>
              <w:rPr>
                <w:rFonts w:ascii="Times New Roman" w:hAnsi="Times New Roman"/>
                <w:b/>
              </w:rPr>
              <w:t>P</w:t>
            </w:r>
            <w:r w:rsidR="002D4080" w:rsidRPr="002D4080">
              <w:rPr>
                <w:rFonts w:ascii="Times New Roman" w:hAnsi="Times New Roman"/>
                <w:b/>
              </w:rPr>
              <w:t>rovision</w:t>
            </w:r>
          </w:p>
        </w:tc>
      </w:tr>
      <w:tr w:rsidR="002D4080" w:rsidTr="002D4080">
        <w:trPr>
          <w:trHeight w:val="395"/>
        </w:trPr>
        <w:tc>
          <w:tcPr>
            <w:tcW w:w="4262" w:type="dxa"/>
          </w:tcPr>
          <w:p w:rsidR="002D4080" w:rsidRPr="002D4080" w:rsidRDefault="002D4080" w:rsidP="002D4080">
            <w:pPr>
              <w:tabs>
                <w:tab w:val="center" w:pos="360"/>
              </w:tabs>
              <w:spacing w:line="360" w:lineRule="auto"/>
              <w:jc w:val="both"/>
              <w:rPr>
                <w:rFonts w:ascii="Times New Roman" w:hAnsi="Times New Roman"/>
              </w:rPr>
            </w:pPr>
            <w:r w:rsidRPr="00F578A3">
              <w:rPr>
                <w:rFonts w:ascii="Times New Roman" w:hAnsi="Times New Roman"/>
              </w:rPr>
              <w:t xml:space="preserve">Pass  </w:t>
            </w:r>
            <w:r w:rsidRPr="00F578A3">
              <w:rPr>
                <w:rFonts w:ascii="Times New Roman" w:hAnsi="Times New Roman"/>
              </w:rPr>
              <w:tab/>
            </w:r>
            <w:r w:rsidRPr="00F578A3">
              <w:rPr>
                <w:rFonts w:ascii="Times New Roman" w:hAnsi="Times New Roman"/>
              </w:rPr>
              <w:tab/>
              <w:t xml:space="preserve">            </w:t>
            </w:r>
            <w:r w:rsidRPr="00F578A3">
              <w:rPr>
                <w:rFonts w:ascii="Times New Roman" w:hAnsi="Times New Roman"/>
              </w:rPr>
              <w:tab/>
              <w:t xml:space="preserve">      </w:t>
            </w:r>
          </w:p>
        </w:tc>
        <w:tc>
          <w:tcPr>
            <w:tcW w:w="4263" w:type="dxa"/>
          </w:tcPr>
          <w:p w:rsidR="002D4080" w:rsidRPr="007A5296" w:rsidRDefault="002D4080" w:rsidP="002D4080">
            <w:pPr>
              <w:tabs>
                <w:tab w:val="center" w:pos="360"/>
              </w:tabs>
              <w:spacing w:line="360" w:lineRule="auto"/>
              <w:jc w:val="center"/>
              <w:rPr>
                <w:rFonts w:ascii="Times New Roman" w:hAnsi="Times New Roman"/>
                <w:b/>
                <w:u w:val="single"/>
              </w:rPr>
            </w:pPr>
            <w:r w:rsidRPr="00F578A3">
              <w:rPr>
                <w:rFonts w:ascii="Times New Roman" w:hAnsi="Times New Roman"/>
              </w:rPr>
              <w:t>1%</w:t>
            </w:r>
          </w:p>
        </w:tc>
      </w:tr>
      <w:tr w:rsidR="002D4080" w:rsidTr="002D4080">
        <w:tc>
          <w:tcPr>
            <w:tcW w:w="4262" w:type="dxa"/>
          </w:tcPr>
          <w:p w:rsidR="002D4080" w:rsidRPr="00F578A3" w:rsidRDefault="002D4080" w:rsidP="002D4080">
            <w:pPr>
              <w:tabs>
                <w:tab w:val="center" w:pos="360"/>
              </w:tabs>
              <w:spacing w:line="360" w:lineRule="auto"/>
              <w:jc w:val="both"/>
              <w:rPr>
                <w:rFonts w:ascii="Times New Roman" w:hAnsi="Times New Roman"/>
              </w:rPr>
            </w:pPr>
            <w:r w:rsidRPr="00F578A3">
              <w:rPr>
                <w:rFonts w:ascii="Times New Roman" w:hAnsi="Times New Roman"/>
              </w:rPr>
              <w:t xml:space="preserve">Substandard    </w:t>
            </w:r>
            <w:r w:rsidRPr="00F578A3">
              <w:rPr>
                <w:rFonts w:ascii="Times New Roman" w:hAnsi="Times New Roman"/>
              </w:rPr>
              <w:tab/>
            </w:r>
            <w:r w:rsidRPr="00F578A3">
              <w:rPr>
                <w:rFonts w:ascii="Times New Roman" w:hAnsi="Times New Roman"/>
              </w:rPr>
              <w:tab/>
            </w:r>
          </w:p>
        </w:tc>
        <w:tc>
          <w:tcPr>
            <w:tcW w:w="4263" w:type="dxa"/>
          </w:tcPr>
          <w:p w:rsidR="002D4080" w:rsidRPr="007A5296" w:rsidRDefault="002D4080" w:rsidP="002D4080">
            <w:pPr>
              <w:tabs>
                <w:tab w:val="center" w:pos="360"/>
              </w:tabs>
              <w:spacing w:line="360" w:lineRule="auto"/>
              <w:jc w:val="center"/>
              <w:rPr>
                <w:rFonts w:ascii="Times New Roman" w:hAnsi="Times New Roman"/>
                <w:b/>
                <w:u w:val="single"/>
              </w:rPr>
            </w:pPr>
            <w:r w:rsidRPr="00F578A3">
              <w:rPr>
                <w:rFonts w:ascii="Times New Roman" w:hAnsi="Times New Roman"/>
              </w:rPr>
              <w:t>25%</w:t>
            </w:r>
          </w:p>
        </w:tc>
      </w:tr>
      <w:tr w:rsidR="002D4080" w:rsidTr="002D4080">
        <w:tc>
          <w:tcPr>
            <w:tcW w:w="4262" w:type="dxa"/>
          </w:tcPr>
          <w:p w:rsidR="002D4080" w:rsidRPr="00F578A3" w:rsidRDefault="002D4080" w:rsidP="002D4080">
            <w:pPr>
              <w:tabs>
                <w:tab w:val="center" w:pos="360"/>
              </w:tabs>
              <w:spacing w:line="360" w:lineRule="auto"/>
              <w:jc w:val="both"/>
              <w:rPr>
                <w:rFonts w:ascii="Times New Roman" w:hAnsi="Times New Roman"/>
              </w:rPr>
            </w:pPr>
            <w:r w:rsidRPr="00F578A3">
              <w:rPr>
                <w:rFonts w:ascii="Times New Roman" w:hAnsi="Times New Roman"/>
              </w:rPr>
              <w:t xml:space="preserve">Doubtful      </w:t>
            </w:r>
          </w:p>
        </w:tc>
        <w:tc>
          <w:tcPr>
            <w:tcW w:w="4263" w:type="dxa"/>
          </w:tcPr>
          <w:p w:rsidR="002D4080" w:rsidRPr="007A5296" w:rsidRDefault="002D4080" w:rsidP="002D4080">
            <w:pPr>
              <w:tabs>
                <w:tab w:val="center" w:pos="360"/>
              </w:tabs>
              <w:spacing w:line="360" w:lineRule="auto"/>
              <w:jc w:val="center"/>
              <w:rPr>
                <w:rFonts w:ascii="Times New Roman" w:hAnsi="Times New Roman"/>
                <w:b/>
                <w:u w:val="single"/>
              </w:rPr>
            </w:pPr>
            <w:r w:rsidRPr="00F578A3">
              <w:rPr>
                <w:rFonts w:ascii="Times New Roman" w:hAnsi="Times New Roman"/>
              </w:rPr>
              <w:t>50%</w:t>
            </w:r>
          </w:p>
        </w:tc>
      </w:tr>
      <w:tr w:rsidR="002D4080" w:rsidTr="002D4080">
        <w:tc>
          <w:tcPr>
            <w:tcW w:w="4262" w:type="dxa"/>
          </w:tcPr>
          <w:p w:rsidR="002D4080" w:rsidRPr="00F578A3" w:rsidRDefault="002D4080" w:rsidP="002D4080">
            <w:pPr>
              <w:tabs>
                <w:tab w:val="center" w:pos="360"/>
              </w:tabs>
              <w:spacing w:line="360" w:lineRule="auto"/>
              <w:jc w:val="both"/>
              <w:rPr>
                <w:rFonts w:ascii="Times New Roman" w:hAnsi="Times New Roman"/>
              </w:rPr>
            </w:pPr>
            <w:r w:rsidRPr="00F578A3">
              <w:rPr>
                <w:rFonts w:ascii="Times New Roman" w:hAnsi="Times New Roman"/>
              </w:rPr>
              <w:t>Loss</w:t>
            </w:r>
          </w:p>
        </w:tc>
        <w:tc>
          <w:tcPr>
            <w:tcW w:w="4263" w:type="dxa"/>
          </w:tcPr>
          <w:p w:rsidR="002D4080" w:rsidRPr="00F578A3" w:rsidRDefault="002D4080" w:rsidP="002D4080">
            <w:pPr>
              <w:tabs>
                <w:tab w:val="center" w:pos="360"/>
              </w:tabs>
              <w:spacing w:line="360" w:lineRule="auto"/>
              <w:jc w:val="center"/>
              <w:rPr>
                <w:rFonts w:ascii="Times New Roman" w:hAnsi="Times New Roman"/>
              </w:rPr>
            </w:pPr>
            <w:r w:rsidRPr="00F578A3">
              <w:rPr>
                <w:rFonts w:ascii="Times New Roman" w:hAnsi="Times New Roman"/>
              </w:rPr>
              <w:t xml:space="preserve">  100%</w:t>
            </w:r>
          </w:p>
        </w:tc>
      </w:tr>
    </w:tbl>
    <w:p w:rsidR="002D4080" w:rsidRPr="002B555B" w:rsidRDefault="00B122FE" w:rsidP="00FD1AA2">
      <w:pPr>
        <w:tabs>
          <w:tab w:val="center" w:pos="360"/>
        </w:tabs>
        <w:spacing w:after="240" w:line="360" w:lineRule="auto"/>
        <w:jc w:val="both"/>
        <w:rPr>
          <w:rFonts w:ascii="Times New Roman" w:hAnsi="Times New Roman"/>
          <w:i/>
        </w:rPr>
      </w:pPr>
      <w:r w:rsidRPr="002B555B">
        <w:rPr>
          <w:rFonts w:ascii="Times New Roman" w:hAnsi="Times New Roman"/>
          <w:i/>
        </w:rPr>
        <w:t xml:space="preserve">Source: </w:t>
      </w:r>
      <w:r w:rsidR="00002D4E" w:rsidRPr="002B555B">
        <w:rPr>
          <w:rFonts w:ascii="Times New Roman" w:hAnsi="Times New Roman"/>
          <w:i/>
        </w:rPr>
        <w:t>NRB Directive, 2005</w:t>
      </w:r>
    </w:p>
    <w:p w:rsidR="00DA4DD8" w:rsidRPr="00F578A3" w:rsidRDefault="002D4080" w:rsidP="00FD1AA2">
      <w:pPr>
        <w:tabs>
          <w:tab w:val="center" w:pos="360"/>
        </w:tabs>
        <w:spacing w:after="240" w:line="360" w:lineRule="auto"/>
        <w:jc w:val="both"/>
        <w:rPr>
          <w:rFonts w:ascii="Times New Roman" w:hAnsi="Times New Roman"/>
        </w:rPr>
      </w:pPr>
      <w:r>
        <w:rPr>
          <w:rFonts w:ascii="Times New Roman" w:hAnsi="Times New Roman"/>
        </w:rPr>
        <w:tab/>
      </w:r>
      <w:r w:rsidR="00DA4DD8" w:rsidRPr="00F578A3">
        <w:rPr>
          <w:rFonts w:ascii="Times New Roman" w:hAnsi="Times New Roman"/>
        </w:rPr>
        <w:t>With the objectives of lowering the concentration risk of bank loans to a few big borrowers and to increase the access of small and middle size borrowers to bank loans, NRB through directive number E.pra.Ni.no. 30/061/62 limits commercial bank to extend credit to a single borrower or group related borrowers up to 25% of core capital and fund based credit facilities and not more than 50% of its core capital for non fund based credit facilities like letters of credit, guarantees, acceptances, comments.</w:t>
      </w:r>
    </w:p>
    <w:p w:rsidR="00DA4DD8" w:rsidRPr="00011574" w:rsidRDefault="00DA4DD8" w:rsidP="00FD1AA2">
      <w:pPr>
        <w:numPr>
          <w:ilvl w:val="2"/>
          <w:numId w:val="1"/>
        </w:numPr>
        <w:tabs>
          <w:tab w:val="center" w:pos="360"/>
        </w:tabs>
        <w:spacing w:after="240" w:line="360" w:lineRule="auto"/>
        <w:jc w:val="both"/>
        <w:rPr>
          <w:rFonts w:ascii="Times New Roman" w:hAnsi="Times New Roman"/>
          <w:b/>
          <w:sz w:val="28"/>
        </w:rPr>
      </w:pPr>
      <w:r w:rsidRPr="00011574">
        <w:rPr>
          <w:rFonts w:ascii="Times New Roman" w:hAnsi="Times New Roman"/>
          <w:b/>
          <w:sz w:val="28"/>
        </w:rPr>
        <w:t>NRB Directives Related to Liquidity</w:t>
      </w:r>
    </w:p>
    <w:p w:rsidR="00DA4DD8" w:rsidRPr="00F578A3" w:rsidRDefault="00DA4DD8" w:rsidP="00FD1AA2">
      <w:pPr>
        <w:tabs>
          <w:tab w:val="center" w:pos="360"/>
        </w:tabs>
        <w:spacing w:after="240" w:line="360" w:lineRule="auto"/>
        <w:jc w:val="both"/>
        <w:rPr>
          <w:rFonts w:ascii="Times New Roman" w:hAnsi="Times New Roman"/>
        </w:rPr>
      </w:pPr>
      <w:r w:rsidRPr="00F578A3">
        <w:rPr>
          <w:rFonts w:ascii="Times New Roman" w:hAnsi="Times New Roman"/>
        </w:rPr>
        <w:t xml:space="preserve">NRB had given the institution to the commercials bank since 2023 BS to deposit the amount the amount ratio of 8 percent from their deposit liability. In the beginning of 2047 BS the increase in the quantity of internal credit was high and began to show negative effect on economy. The deflation grew up to 21 percent. So, high liquidity appeared in economy. Hence control of negative effect that may fall on economy to improve the growth price rate and improvement of the position of loss of running </w:t>
      </w:r>
      <w:r w:rsidRPr="00F578A3">
        <w:rPr>
          <w:rFonts w:ascii="Times New Roman" w:hAnsi="Times New Roman"/>
        </w:rPr>
        <w:lastRenderedPageBreak/>
        <w:t>account and control the capacity of flowing the loan of the commercial banks, was necessary and the NRB bonds. With sign of improvement of economy, the investment ratio was revised accordingly, since poush 2049 Bs since the beginning of 2050 BS, the economy showed improvement and the rate of deflation fell down to 8.8 percent. With this, the provision of investing in the government securities was removed.</w:t>
      </w:r>
    </w:p>
    <w:p w:rsidR="00DA4DD8" w:rsidRPr="00F578A3" w:rsidRDefault="00DA4DD8" w:rsidP="00FD1AA2">
      <w:pPr>
        <w:tabs>
          <w:tab w:val="center" w:pos="360"/>
        </w:tabs>
        <w:spacing w:after="240" w:line="360" w:lineRule="auto"/>
        <w:jc w:val="both"/>
        <w:rPr>
          <w:rFonts w:ascii="Times New Roman" w:hAnsi="Times New Roman"/>
        </w:rPr>
      </w:pPr>
      <w:r w:rsidRPr="00F578A3">
        <w:rPr>
          <w:rFonts w:ascii="Times New Roman" w:hAnsi="Times New Roman"/>
        </w:rPr>
        <w:t>With effective from, 2054, chaitra 31</w:t>
      </w:r>
      <w:r w:rsidRPr="00F578A3">
        <w:rPr>
          <w:rFonts w:ascii="Times New Roman" w:hAnsi="Times New Roman"/>
          <w:vertAlign w:val="superscript"/>
        </w:rPr>
        <w:t>st</w:t>
      </w:r>
      <w:r w:rsidRPr="00F578A3">
        <w:rPr>
          <w:rFonts w:ascii="Times New Roman" w:hAnsi="Times New Roman"/>
        </w:rPr>
        <w:t>, commercial banks were required to maintain liquidity of 8 percent of the total current and saving deposits and 6 percent of the fixed deposits, in addition to 3 percent of total deposit in cash at vault. Since then the NRB reserve requirement have been put into force by NRB effective from 22 July 2002 (2059/04/06).</w:t>
      </w:r>
    </w:p>
    <w:p w:rsidR="00407B29" w:rsidRPr="00407B29" w:rsidRDefault="00407B29" w:rsidP="00407B29">
      <w:pPr>
        <w:tabs>
          <w:tab w:val="center" w:pos="360"/>
        </w:tabs>
        <w:spacing w:after="240" w:line="360" w:lineRule="auto"/>
        <w:jc w:val="center"/>
        <w:rPr>
          <w:rFonts w:ascii="Times New Roman" w:hAnsi="Times New Roman"/>
          <w:b/>
        </w:rPr>
      </w:pPr>
      <w:r w:rsidRPr="00407B29">
        <w:rPr>
          <w:rFonts w:ascii="Times New Roman" w:hAnsi="Times New Roman"/>
          <w:b/>
        </w:rPr>
        <w:t>Table</w:t>
      </w:r>
      <w:r w:rsidR="002B555B">
        <w:rPr>
          <w:rFonts w:ascii="Times New Roman" w:hAnsi="Times New Roman"/>
          <w:b/>
        </w:rPr>
        <w:t xml:space="preserve"> :</w:t>
      </w:r>
      <w:r w:rsidRPr="00407B29">
        <w:rPr>
          <w:rFonts w:ascii="Times New Roman" w:hAnsi="Times New Roman"/>
          <w:b/>
        </w:rPr>
        <w:t xml:space="preserve"> 2.3</w:t>
      </w:r>
    </w:p>
    <w:p w:rsidR="00DA4DD8" w:rsidRPr="00F578A3" w:rsidRDefault="00DA4DD8" w:rsidP="00407B29">
      <w:pPr>
        <w:tabs>
          <w:tab w:val="center" w:pos="360"/>
        </w:tabs>
        <w:spacing w:after="240" w:line="360" w:lineRule="auto"/>
        <w:jc w:val="center"/>
        <w:rPr>
          <w:rFonts w:ascii="Times New Roman" w:hAnsi="Times New Roman"/>
          <w:b/>
        </w:rPr>
      </w:pPr>
      <w:r w:rsidRPr="00F578A3">
        <w:rPr>
          <w:rFonts w:ascii="Times New Roman" w:hAnsi="Times New Roman"/>
          <w:b/>
        </w:rPr>
        <w:t>Prevailing Directives as to Cash Reserve Ratio Requirement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04"/>
        <w:gridCol w:w="2343"/>
        <w:gridCol w:w="5378"/>
      </w:tblGrid>
      <w:tr w:rsidR="00DA4DD8" w:rsidRPr="00F578A3" w:rsidTr="00EF2EC8">
        <w:tc>
          <w:tcPr>
            <w:tcW w:w="828" w:type="dxa"/>
          </w:tcPr>
          <w:p w:rsidR="00DA4DD8" w:rsidRPr="00F578A3" w:rsidRDefault="00DA4DD8" w:rsidP="002B3303">
            <w:pPr>
              <w:tabs>
                <w:tab w:val="center" w:pos="360"/>
              </w:tabs>
              <w:spacing w:line="360" w:lineRule="auto"/>
              <w:jc w:val="both"/>
              <w:rPr>
                <w:rFonts w:ascii="Times New Roman" w:hAnsi="Times New Roman"/>
              </w:rPr>
            </w:pPr>
            <w:r w:rsidRPr="00F578A3">
              <w:rPr>
                <w:rFonts w:ascii="Times New Roman" w:hAnsi="Times New Roman"/>
              </w:rPr>
              <w:t>a)</w:t>
            </w:r>
          </w:p>
        </w:tc>
        <w:tc>
          <w:tcPr>
            <w:tcW w:w="2430" w:type="dxa"/>
          </w:tcPr>
          <w:p w:rsidR="00DA4DD8" w:rsidRPr="00F578A3" w:rsidRDefault="00DA4DD8" w:rsidP="002B3303">
            <w:pPr>
              <w:tabs>
                <w:tab w:val="center" w:pos="360"/>
              </w:tabs>
              <w:spacing w:line="360" w:lineRule="auto"/>
              <w:jc w:val="both"/>
              <w:rPr>
                <w:rFonts w:ascii="Times New Roman" w:hAnsi="Times New Roman"/>
              </w:rPr>
            </w:pPr>
            <w:r w:rsidRPr="00F578A3">
              <w:rPr>
                <w:rFonts w:ascii="Times New Roman" w:hAnsi="Times New Roman"/>
              </w:rPr>
              <w:t>Balance to NRB</w:t>
            </w:r>
          </w:p>
        </w:tc>
        <w:tc>
          <w:tcPr>
            <w:tcW w:w="5624" w:type="dxa"/>
          </w:tcPr>
          <w:p w:rsidR="00DA4DD8" w:rsidRPr="00F578A3" w:rsidRDefault="00DA4DD8" w:rsidP="002B3303">
            <w:pPr>
              <w:numPr>
                <w:ilvl w:val="0"/>
                <w:numId w:val="21"/>
              </w:numPr>
              <w:tabs>
                <w:tab w:val="center" w:pos="360"/>
              </w:tabs>
              <w:spacing w:line="360" w:lineRule="auto"/>
              <w:jc w:val="both"/>
              <w:rPr>
                <w:rFonts w:ascii="Times New Roman" w:hAnsi="Times New Roman"/>
              </w:rPr>
            </w:pPr>
            <w:r w:rsidRPr="00F578A3">
              <w:rPr>
                <w:rFonts w:ascii="Times New Roman" w:hAnsi="Times New Roman"/>
              </w:rPr>
              <w:t>7% of current and saving deposit liabilities.</w:t>
            </w:r>
          </w:p>
          <w:p w:rsidR="00DA4DD8" w:rsidRPr="00F578A3" w:rsidRDefault="00DA4DD8" w:rsidP="002B3303">
            <w:pPr>
              <w:numPr>
                <w:ilvl w:val="0"/>
                <w:numId w:val="21"/>
              </w:numPr>
              <w:tabs>
                <w:tab w:val="center" w:pos="360"/>
              </w:tabs>
              <w:spacing w:line="360" w:lineRule="auto"/>
              <w:jc w:val="both"/>
              <w:rPr>
                <w:rFonts w:ascii="Times New Roman" w:hAnsi="Times New Roman"/>
              </w:rPr>
            </w:pPr>
            <w:r w:rsidRPr="00F578A3">
              <w:rPr>
                <w:rFonts w:ascii="Times New Roman" w:hAnsi="Times New Roman"/>
              </w:rPr>
              <w:t xml:space="preserve">4.5 % of fixed deposit liabilities. </w:t>
            </w:r>
          </w:p>
        </w:tc>
      </w:tr>
      <w:tr w:rsidR="00DA4DD8" w:rsidRPr="00F578A3" w:rsidTr="00EF2EC8">
        <w:tc>
          <w:tcPr>
            <w:tcW w:w="828" w:type="dxa"/>
          </w:tcPr>
          <w:p w:rsidR="00DA4DD8" w:rsidRPr="00F578A3" w:rsidRDefault="00DA4DD8" w:rsidP="002B3303">
            <w:pPr>
              <w:tabs>
                <w:tab w:val="center" w:pos="360"/>
              </w:tabs>
              <w:spacing w:line="360" w:lineRule="auto"/>
              <w:jc w:val="both"/>
              <w:rPr>
                <w:rFonts w:ascii="Times New Roman" w:hAnsi="Times New Roman"/>
              </w:rPr>
            </w:pPr>
            <w:r w:rsidRPr="00F578A3">
              <w:rPr>
                <w:rFonts w:ascii="Times New Roman" w:hAnsi="Times New Roman"/>
              </w:rPr>
              <w:t>b)</w:t>
            </w:r>
          </w:p>
        </w:tc>
        <w:tc>
          <w:tcPr>
            <w:tcW w:w="2430" w:type="dxa"/>
          </w:tcPr>
          <w:p w:rsidR="00DA4DD8" w:rsidRPr="00F578A3" w:rsidRDefault="00DA4DD8" w:rsidP="002B3303">
            <w:pPr>
              <w:tabs>
                <w:tab w:val="center" w:pos="360"/>
              </w:tabs>
              <w:spacing w:line="360" w:lineRule="auto"/>
              <w:jc w:val="both"/>
              <w:rPr>
                <w:rFonts w:ascii="Times New Roman" w:hAnsi="Times New Roman"/>
              </w:rPr>
            </w:pPr>
            <w:r w:rsidRPr="00F578A3">
              <w:rPr>
                <w:rFonts w:ascii="Times New Roman" w:hAnsi="Times New Roman"/>
              </w:rPr>
              <w:t>Cash to vault</w:t>
            </w:r>
          </w:p>
        </w:tc>
        <w:tc>
          <w:tcPr>
            <w:tcW w:w="5624" w:type="dxa"/>
          </w:tcPr>
          <w:p w:rsidR="00DA4DD8" w:rsidRPr="00F578A3" w:rsidRDefault="00DA4DD8" w:rsidP="002B3303">
            <w:pPr>
              <w:tabs>
                <w:tab w:val="center" w:pos="360"/>
              </w:tabs>
              <w:spacing w:line="360" w:lineRule="auto"/>
              <w:jc w:val="both"/>
              <w:rPr>
                <w:rFonts w:ascii="Times New Roman" w:hAnsi="Times New Roman"/>
              </w:rPr>
            </w:pPr>
            <w:r w:rsidRPr="00F578A3">
              <w:rPr>
                <w:rFonts w:ascii="Times New Roman" w:hAnsi="Times New Roman"/>
              </w:rPr>
              <w:t xml:space="preserve">      2% Total deposit liabilities.</w:t>
            </w:r>
          </w:p>
        </w:tc>
      </w:tr>
    </w:tbl>
    <w:p w:rsidR="00DA4DD8" w:rsidRPr="002B555B" w:rsidRDefault="00744AE1" w:rsidP="00FD1AA2">
      <w:pPr>
        <w:tabs>
          <w:tab w:val="center" w:pos="360"/>
        </w:tabs>
        <w:spacing w:after="240" w:line="360" w:lineRule="auto"/>
        <w:jc w:val="both"/>
        <w:rPr>
          <w:rFonts w:ascii="Times New Roman" w:hAnsi="Times New Roman"/>
          <w:i/>
        </w:rPr>
      </w:pPr>
      <w:r w:rsidRPr="002B555B">
        <w:rPr>
          <w:rFonts w:ascii="Times New Roman" w:hAnsi="Times New Roman"/>
          <w:i/>
        </w:rPr>
        <w:t>Source: NRB Directive</w:t>
      </w:r>
      <w:r w:rsidR="007B0B9A" w:rsidRPr="002B555B">
        <w:rPr>
          <w:rFonts w:ascii="Times New Roman" w:hAnsi="Times New Roman"/>
          <w:i/>
        </w:rPr>
        <w:t>, 2005</w:t>
      </w:r>
    </w:p>
    <w:p w:rsidR="00DA4DD8" w:rsidRPr="00F578A3" w:rsidRDefault="00DA4DD8" w:rsidP="00FD1AA2">
      <w:pPr>
        <w:tabs>
          <w:tab w:val="center" w:pos="360"/>
        </w:tabs>
        <w:spacing w:after="240" w:line="360" w:lineRule="auto"/>
        <w:jc w:val="both"/>
        <w:rPr>
          <w:rFonts w:ascii="Times New Roman" w:hAnsi="Times New Roman"/>
        </w:rPr>
      </w:pPr>
      <w:r w:rsidRPr="00F578A3">
        <w:rPr>
          <w:rFonts w:ascii="Times New Roman" w:hAnsi="Times New Roman"/>
        </w:rPr>
        <w:t>The compliance of liquidity maintenance, the NRB applies following procedures.</w:t>
      </w:r>
    </w:p>
    <w:p w:rsidR="00DA4DD8" w:rsidRPr="00F578A3" w:rsidRDefault="00DA4DD8" w:rsidP="00FD1AA2">
      <w:pPr>
        <w:numPr>
          <w:ilvl w:val="0"/>
          <w:numId w:val="22"/>
        </w:numPr>
        <w:tabs>
          <w:tab w:val="center" w:pos="360"/>
        </w:tabs>
        <w:spacing w:after="240" w:line="360" w:lineRule="auto"/>
        <w:jc w:val="both"/>
        <w:rPr>
          <w:rFonts w:ascii="Times New Roman" w:hAnsi="Times New Roman"/>
        </w:rPr>
      </w:pPr>
      <w:r w:rsidRPr="00F578A3">
        <w:rPr>
          <w:rFonts w:ascii="Times New Roman" w:hAnsi="Times New Roman"/>
        </w:rPr>
        <w:t>The CRR maintained by banks will be examined on the basis of average weekly balance of deposit liabilities immediately preceding 4</w:t>
      </w:r>
      <w:r w:rsidRPr="00F578A3">
        <w:rPr>
          <w:rFonts w:ascii="Times New Roman" w:hAnsi="Times New Roman"/>
          <w:vertAlign w:val="superscript"/>
        </w:rPr>
        <w:t>th</w:t>
      </w:r>
      <w:r w:rsidRPr="00F578A3">
        <w:rPr>
          <w:rFonts w:ascii="Times New Roman" w:hAnsi="Times New Roman"/>
        </w:rPr>
        <w:t xml:space="preserve"> week. A week shall comprise from each Sunday through Saturday.</w:t>
      </w:r>
    </w:p>
    <w:p w:rsidR="00DA4DD8" w:rsidRPr="00F578A3" w:rsidRDefault="00DA4DD8" w:rsidP="00FD1AA2">
      <w:pPr>
        <w:numPr>
          <w:ilvl w:val="0"/>
          <w:numId w:val="22"/>
        </w:numPr>
        <w:tabs>
          <w:tab w:val="center" w:pos="360"/>
        </w:tabs>
        <w:spacing w:after="240" w:line="360" w:lineRule="auto"/>
        <w:jc w:val="both"/>
        <w:rPr>
          <w:rFonts w:ascii="Times New Roman" w:hAnsi="Times New Roman"/>
        </w:rPr>
      </w:pPr>
      <w:r w:rsidRPr="00F578A3">
        <w:rPr>
          <w:rFonts w:ascii="Times New Roman" w:hAnsi="Times New Roman"/>
        </w:rPr>
        <w:t>CRR will not be calculated for the week which is fully off.</w:t>
      </w:r>
    </w:p>
    <w:p w:rsidR="00DA4DD8" w:rsidRPr="00F578A3" w:rsidRDefault="00DA4DD8" w:rsidP="00FD1AA2">
      <w:pPr>
        <w:numPr>
          <w:ilvl w:val="0"/>
          <w:numId w:val="22"/>
        </w:numPr>
        <w:tabs>
          <w:tab w:val="center" w:pos="360"/>
        </w:tabs>
        <w:spacing w:after="240" w:line="360" w:lineRule="auto"/>
        <w:jc w:val="both"/>
        <w:rPr>
          <w:rFonts w:ascii="Times New Roman" w:hAnsi="Times New Roman"/>
        </w:rPr>
      </w:pPr>
      <w:r w:rsidRPr="00F578A3">
        <w:rPr>
          <w:rFonts w:ascii="Times New Roman" w:hAnsi="Times New Roman"/>
        </w:rPr>
        <w:t>Weekly statement of deposit balance to be submitted to NRB inspection and supervision department within 15 days from date of end of the week.</w:t>
      </w:r>
    </w:p>
    <w:p w:rsidR="00DA4DD8" w:rsidRPr="00F578A3" w:rsidRDefault="00DA4DD8" w:rsidP="00FD1AA2">
      <w:pPr>
        <w:numPr>
          <w:ilvl w:val="0"/>
          <w:numId w:val="22"/>
        </w:numPr>
        <w:tabs>
          <w:tab w:val="center" w:pos="360"/>
        </w:tabs>
        <w:spacing w:after="240" w:line="360" w:lineRule="auto"/>
        <w:jc w:val="both"/>
        <w:rPr>
          <w:rFonts w:ascii="Times New Roman" w:hAnsi="Times New Roman"/>
        </w:rPr>
      </w:pPr>
      <w:r w:rsidRPr="00F578A3">
        <w:rPr>
          <w:rFonts w:ascii="Times New Roman" w:hAnsi="Times New Roman"/>
        </w:rPr>
        <w:t>Weekly average of Monday to Friday of total deposit, cash in vault and NRB balance is calculating by dividing by 5.</w:t>
      </w:r>
    </w:p>
    <w:p w:rsidR="00DA4DD8" w:rsidRPr="00F578A3" w:rsidRDefault="00DA4DD8" w:rsidP="00FD1AA2">
      <w:pPr>
        <w:tabs>
          <w:tab w:val="center" w:pos="360"/>
        </w:tabs>
        <w:spacing w:after="240" w:line="360" w:lineRule="auto"/>
        <w:jc w:val="both"/>
        <w:rPr>
          <w:rFonts w:ascii="Times New Roman" w:hAnsi="Times New Roman"/>
        </w:rPr>
      </w:pPr>
      <w:r w:rsidRPr="00F578A3">
        <w:rPr>
          <w:rFonts w:ascii="Times New Roman" w:hAnsi="Times New Roman"/>
        </w:rPr>
        <w:t>Penalty will be levied for failing to maintain the adequate liquidity as above under any of the following conditions.</w:t>
      </w:r>
    </w:p>
    <w:p w:rsidR="00DA4DD8" w:rsidRPr="00F578A3" w:rsidRDefault="00DA4DD8" w:rsidP="00FD1AA2">
      <w:pPr>
        <w:numPr>
          <w:ilvl w:val="0"/>
          <w:numId w:val="23"/>
        </w:numPr>
        <w:tabs>
          <w:tab w:val="center" w:pos="360"/>
        </w:tabs>
        <w:spacing w:after="240" w:line="360" w:lineRule="auto"/>
        <w:jc w:val="both"/>
        <w:rPr>
          <w:rFonts w:ascii="Times New Roman" w:hAnsi="Times New Roman"/>
        </w:rPr>
      </w:pPr>
      <w:r w:rsidRPr="00F578A3">
        <w:rPr>
          <w:rFonts w:ascii="Times New Roman" w:hAnsi="Times New Roman"/>
        </w:rPr>
        <w:lastRenderedPageBreak/>
        <w:t>In the case of shortfall in maintenance of NRB balance but cash at vault is exactly 2 %.</w:t>
      </w:r>
    </w:p>
    <w:p w:rsidR="00DA4DD8" w:rsidRPr="00F578A3" w:rsidRDefault="00DA4DD8" w:rsidP="00FD1AA2">
      <w:pPr>
        <w:numPr>
          <w:ilvl w:val="0"/>
          <w:numId w:val="23"/>
        </w:numPr>
        <w:tabs>
          <w:tab w:val="center" w:pos="360"/>
        </w:tabs>
        <w:spacing w:after="240" w:line="360" w:lineRule="auto"/>
        <w:jc w:val="both"/>
        <w:rPr>
          <w:rFonts w:ascii="Times New Roman" w:hAnsi="Times New Roman"/>
        </w:rPr>
      </w:pPr>
      <w:r w:rsidRPr="00F578A3">
        <w:rPr>
          <w:rFonts w:ascii="Times New Roman" w:hAnsi="Times New Roman"/>
        </w:rPr>
        <w:t>In case of shortfall in NRB balance but cash at vault is more than 2 %  then up to 1% excess cash of total deposit is added in the balance with NRB then on such shortfall account (after adding up to 1% excess).</w:t>
      </w:r>
    </w:p>
    <w:p w:rsidR="00DA4DD8" w:rsidRPr="00F578A3" w:rsidRDefault="00DA4DD8" w:rsidP="00FD1AA2">
      <w:pPr>
        <w:numPr>
          <w:ilvl w:val="0"/>
          <w:numId w:val="23"/>
        </w:numPr>
        <w:tabs>
          <w:tab w:val="center" w:pos="360"/>
        </w:tabs>
        <w:spacing w:after="240" w:line="360" w:lineRule="auto"/>
        <w:jc w:val="both"/>
        <w:rPr>
          <w:rFonts w:ascii="Times New Roman" w:hAnsi="Times New Roman"/>
        </w:rPr>
      </w:pPr>
      <w:r w:rsidRPr="00F578A3">
        <w:rPr>
          <w:rFonts w:ascii="Times New Roman" w:hAnsi="Times New Roman"/>
        </w:rPr>
        <w:t>In case of shortfall in cash in vault as well as shortfall in NRB balance then on total shortfall amount.</w:t>
      </w:r>
    </w:p>
    <w:p w:rsidR="00DA4DD8" w:rsidRPr="00F578A3" w:rsidRDefault="00DA4DD8" w:rsidP="00FD1AA2">
      <w:pPr>
        <w:tabs>
          <w:tab w:val="center" w:pos="360"/>
        </w:tabs>
        <w:spacing w:after="240" w:line="360" w:lineRule="auto"/>
        <w:ind w:left="360"/>
        <w:jc w:val="both"/>
        <w:rPr>
          <w:rFonts w:ascii="Times New Roman" w:hAnsi="Times New Roman"/>
        </w:rPr>
      </w:pPr>
      <w:r w:rsidRPr="00F578A3">
        <w:rPr>
          <w:rFonts w:ascii="Times New Roman" w:hAnsi="Times New Roman"/>
        </w:rPr>
        <w:t>The applicable rate of penalty is as follows:</w:t>
      </w:r>
    </w:p>
    <w:p w:rsidR="00DA4DD8" w:rsidRPr="00F578A3" w:rsidRDefault="00DA4DD8" w:rsidP="00FD1AA2">
      <w:pPr>
        <w:tabs>
          <w:tab w:val="center" w:pos="360"/>
        </w:tabs>
        <w:spacing w:after="240" w:line="360" w:lineRule="auto"/>
        <w:ind w:left="360"/>
        <w:jc w:val="both"/>
        <w:rPr>
          <w:rFonts w:ascii="Times New Roman" w:hAnsi="Times New Roman"/>
        </w:rPr>
      </w:pPr>
      <w:r w:rsidRPr="00F578A3">
        <w:rPr>
          <w:rFonts w:ascii="Times New Roman" w:hAnsi="Times New Roman"/>
        </w:rPr>
        <w:t>First time shortfall = Equivalent to bank rate/highest refinance rate.</w:t>
      </w:r>
    </w:p>
    <w:p w:rsidR="00DA4DD8" w:rsidRPr="00F578A3" w:rsidRDefault="00DA4DD8" w:rsidP="00FD1AA2">
      <w:pPr>
        <w:tabs>
          <w:tab w:val="center" w:pos="360"/>
        </w:tabs>
        <w:spacing w:after="240" w:line="360" w:lineRule="auto"/>
        <w:ind w:left="360"/>
        <w:jc w:val="both"/>
        <w:rPr>
          <w:rFonts w:ascii="Times New Roman" w:hAnsi="Times New Roman"/>
        </w:rPr>
      </w:pPr>
      <w:r w:rsidRPr="00F578A3">
        <w:rPr>
          <w:rFonts w:ascii="Times New Roman" w:hAnsi="Times New Roman"/>
        </w:rPr>
        <w:t>Second time shortfall= Equivalent to 2 times of bank rate.</w:t>
      </w:r>
    </w:p>
    <w:p w:rsidR="00D61A65" w:rsidRDefault="00DA4DD8" w:rsidP="00D61A65">
      <w:pPr>
        <w:tabs>
          <w:tab w:val="center" w:pos="360"/>
        </w:tabs>
        <w:spacing w:after="240" w:line="360" w:lineRule="auto"/>
        <w:ind w:left="360"/>
        <w:jc w:val="both"/>
        <w:rPr>
          <w:rFonts w:ascii="Times New Roman" w:hAnsi="Times New Roman"/>
        </w:rPr>
      </w:pPr>
      <w:r w:rsidRPr="00F578A3">
        <w:rPr>
          <w:rFonts w:ascii="Times New Roman" w:hAnsi="Times New Roman"/>
        </w:rPr>
        <w:t>Third time shortfall and all subsequent shortfalls=Equivalent to 3 times of bank rate.</w:t>
      </w:r>
    </w:p>
    <w:p w:rsidR="00DA4DD8" w:rsidRPr="00407B29" w:rsidRDefault="00D61A65" w:rsidP="00D61A65">
      <w:pPr>
        <w:tabs>
          <w:tab w:val="center" w:pos="360"/>
        </w:tabs>
        <w:spacing w:after="240" w:line="360" w:lineRule="auto"/>
        <w:jc w:val="both"/>
        <w:rPr>
          <w:rFonts w:ascii="Times New Roman" w:hAnsi="Times New Roman"/>
          <w:sz w:val="28"/>
        </w:rPr>
      </w:pPr>
      <w:r w:rsidRPr="00407B29">
        <w:rPr>
          <w:rFonts w:ascii="Times New Roman" w:hAnsi="Times New Roman"/>
          <w:b/>
          <w:sz w:val="28"/>
        </w:rPr>
        <w:t>2.3</w:t>
      </w:r>
      <w:r w:rsidRPr="00407B29">
        <w:rPr>
          <w:rFonts w:ascii="Times New Roman" w:hAnsi="Times New Roman"/>
          <w:b/>
          <w:sz w:val="28"/>
        </w:rPr>
        <w:tab/>
      </w:r>
      <w:r w:rsidRPr="00407B29">
        <w:rPr>
          <w:rFonts w:ascii="Times New Roman" w:hAnsi="Times New Roman"/>
          <w:b/>
          <w:sz w:val="28"/>
        </w:rPr>
        <w:tab/>
      </w:r>
      <w:r w:rsidR="00DA4DD8" w:rsidRPr="00407B29">
        <w:rPr>
          <w:rFonts w:ascii="Times New Roman" w:hAnsi="Times New Roman"/>
          <w:b/>
          <w:sz w:val="28"/>
        </w:rPr>
        <w:t>Review of Related Studies</w:t>
      </w:r>
    </w:p>
    <w:p w:rsidR="00DA4DD8" w:rsidRPr="00F578A3" w:rsidRDefault="00DA4DD8" w:rsidP="00FD1AA2">
      <w:pPr>
        <w:tabs>
          <w:tab w:val="center" w:pos="360"/>
        </w:tabs>
        <w:spacing w:after="240" w:line="360" w:lineRule="auto"/>
        <w:jc w:val="both"/>
        <w:rPr>
          <w:rFonts w:ascii="Times New Roman" w:hAnsi="Times New Roman"/>
        </w:rPr>
      </w:pPr>
      <w:r w:rsidRPr="00F578A3">
        <w:rPr>
          <w:rFonts w:ascii="Times New Roman" w:hAnsi="Times New Roman"/>
        </w:rPr>
        <w:t xml:space="preserve">The research studies and work papers carried out by different scholars within various geographical region including dissertations conducted by Nepalese scholars are reviewed in this section, which are related with financial performance analysis of commercial bank, finance company and the other area of the study. </w:t>
      </w:r>
    </w:p>
    <w:p w:rsidR="00DA4DD8" w:rsidRPr="00407B29" w:rsidRDefault="00DA4DD8" w:rsidP="00FD1AA2">
      <w:pPr>
        <w:tabs>
          <w:tab w:val="center" w:pos="360"/>
        </w:tabs>
        <w:spacing w:after="240" w:line="360" w:lineRule="auto"/>
        <w:jc w:val="both"/>
        <w:rPr>
          <w:rFonts w:ascii="Times New Roman" w:hAnsi="Times New Roman"/>
          <w:b/>
          <w:sz w:val="28"/>
        </w:rPr>
      </w:pPr>
      <w:r w:rsidRPr="00407B29">
        <w:rPr>
          <w:rFonts w:ascii="Times New Roman" w:hAnsi="Times New Roman"/>
          <w:b/>
          <w:sz w:val="28"/>
        </w:rPr>
        <w:t xml:space="preserve">2.3.1 </w:t>
      </w:r>
      <w:r w:rsidR="00242AAE" w:rsidRPr="00407B29">
        <w:rPr>
          <w:rFonts w:ascii="Times New Roman" w:hAnsi="Times New Roman"/>
          <w:b/>
          <w:sz w:val="28"/>
        </w:rPr>
        <w:tab/>
      </w:r>
      <w:r w:rsidRPr="00407B29">
        <w:rPr>
          <w:rFonts w:ascii="Times New Roman" w:hAnsi="Times New Roman"/>
          <w:b/>
          <w:sz w:val="28"/>
        </w:rPr>
        <w:t>Review of Journals and Articles</w:t>
      </w:r>
    </w:p>
    <w:p w:rsidR="00DA4DD8" w:rsidRPr="00F578A3" w:rsidRDefault="00DA4DD8" w:rsidP="00FD1AA2">
      <w:pPr>
        <w:tabs>
          <w:tab w:val="center" w:pos="360"/>
        </w:tabs>
        <w:spacing w:after="240" w:line="360" w:lineRule="auto"/>
        <w:jc w:val="both"/>
        <w:rPr>
          <w:rFonts w:ascii="Times New Roman" w:hAnsi="Times New Roman"/>
        </w:rPr>
      </w:pPr>
      <w:r w:rsidRPr="002C2C0F">
        <w:rPr>
          <w:rFonts w:ascii="Times New Roman" w:hAnsi="Times New Roman"/>
        </w:rPr>
        <w:t>Hirtle and Lopez (1999),</w:t>
      </w:r>
      <w:r w:rsidRPr="00F578A3">
        <w:rPr>
          <w:rFonts w:ascii="Times New Roman" w:hAnsi="Times New Roman"/>
          <w:b/>
        </w:rPr>
        <w:t xml:space="preserve"> </w:t>
      </w:r>
      <w:r w:rsidRPr="00F578A3">
        <w:rPr>
          <w:rFonts w:ascii="Times New Roman" w:hAnsi="Times New Roman"/>
        </w:rPr>
        <w:t xml:space="preserve">examine the usefulness of the past CAMEL rating in assessing banks current conditions. They find that, condition on current public information, the private supervisory information contained in the past CAMEL rating provides further insight in to bank current conditions as summarized by current CAMEL ratings. The authors find that, over the period from 1989 to 1995 the private supervisory information during the last on-site exam remains useful with respect to the current condition of the bank for up to 6 to 12 quarters. The overall conclusion drawn from academic studies is that private supervisory information, as summarized </w:t>
      </w:r>
      <w:r w:rsidRPr="00F578A3">
        <w:rPr>
          <w:rFonts w:ascii="Times New Roman" w:hAnsi="Times New Roman"/>
        </w:rPr>
        <w:lastRenderedPageBreak/>
        <w:t>by CAMELS rating, is clearly useful in the supervisory monitoring of bank conditions.</w:t>
      </w:r>
    </w:p>
    <w:p w:rsidR="00DA4DD8" w:rsidRPr="00F578A3" w:rsidRDefault="00DA4DD8" w:rsidP="00FD1AA2">
      <w:pPr>
        <w:tabs>
          <w:tab w:val="center" w:pos="1530"/>
        </w:tabs>
        <w:spacing w:after="240" w:line="360" w:lineRule="auto"/>
        <w:jc w:val="both"/>
        <w:rPr>
          <w:rFonts w:ascii="Times New Roman" w:hAnsi="Times New Roman"/>
        </w:rPr>
      </w:pPr>
      <w:r w:rsidRPr="00F578A3">
        <w:rPr>
          <w:rFonts w:ascii="Times New Roman" w:hAnsi="Times New Roman"/>
        </w:rPr>
        <w:t>Dziobek, Hobbs and Marston (2000), analyze the determinants of bank liquidity defined as the degree to which FIs is able to meet its obligations under normal business condition. Volatility in the depositors and creditor base depends on the type of depositors, insurance coverage and maturity; banks that rely on a narrow or highly volatile funding base are more prone to liquidity squeezes. Household deposits are typically more stable than, for instance, the deposit of institutional investors or corporate entities. Deposit concentration (i.e. fewer, larger size deposits) can also be indicative of volatility. Deposit insurance increase the stability of the deposits it covers, with the important caveat front, foreign financing for instance through commercial credit lines and deposits of nonresidents (either in foreign or domestic currency) can become highly volatile in situations of distress and make the financial system vulnerable to external shocks or adverse developments in the domestic economy. As regards instrument maturity, the longer the time before the liability matures ( in terms of remaining maturity), the more stable is the funding, however, in countries where banks are required to meet early withdrawal requests with only minor penalties, maturity may be less relevant to determining funding stability.</w:t>
      </w:r>
    </w:p>
    <w:p w:rsidR="00DA4DD8" w:rsidRPr="00F578A3" w:rsidRDefault="00DA4DD8" w:rsidP="00FD1AA2">
      <w:pPr>
        <w:tabs>
          <w:tab w:val="center" w:pos="1530"/>
        </w:tabs>
        <w:spacing w:after="240" w:line="360" w:lineRule="auto"/>
        <w:jc w:val="both"/>
        <w:rPr>
          <w:rFonts w:ascii="Times New Roman" w:hAnsi="Times New Roman"/>
        </w:rPr>
      </w:pPr>
      <w:r w:rsidRPr="00F578A3">
        <w:rPr>
          <w:rFonts w:ascii="Times New Roman" w:hAnsi="Times New Roman"/>
        </w:rPr>
        <w:t>Derviz and Podpiera (2004) based their assessment of commercial banking performance on bank ratings and studied with respect to detecting situations with the potential for adverse development towards failure and owing to the costly nature of frequent supervisory examinations. In this paper they studied model of rating downgrades and consider a specific set of indicators that are suitable as determinants of banks rating. The conclusion about the predictors of obtain from the analysis of downgrades are applicable in relatively stable banking sector situations. Banks experiencing minor liquidity trouble might raise their interest rates on deposits, but a regulator would have a hard time distinguishing which bank has increased its deposit rate of liquidity problems and which has done so owing to an increase in its deposit rate because of liquidity problems which has done so owing to an increase in its cost of funds caused by some other factor. Therefore in their approach the cost of funds one of the plausible downgrade indicators was used in the form of the banks “credit spread”. In addition to credit spread, they tested the in</w:t>
      </w:r>
      <w:r w:rsidR="00D45B61">
        <w:rPr>
          <w:rFonts w:ascii="Times New Roman" w:hAnsi="Times New Roman"/>
        </w:rPr>
        <w:t xml:space="preserve">clusion of the value at risk </w:t>
      </w:r>
      <w:r w:rsidR="00D45B61">
        <w:rPr>
          <w:rFonts w:ascii="Times New Roman" w:hAnsi="Times New Roman"/>
        </w:rPr>
        <w:lastRenderedPageBreak/>
        <w:t>(VA</w:t>
      </w:r>
      <w:r w:rsidRPr="00F578A3">
        <w:rPr>
          <w:rFonts w:ascii="Times New Roman" w:hAnsi="Times New Roman"/>
        </w:rPr>
        <w:t>R) indicato</w:t>
      </w:r>
      <w:r w:rsidR="00D45B61">
        <w:rPr>
          <w:rFonts w:ascii="Times New Roman" w:hAnsi="Times New Roman"/>
        </w:rPr>
        <w:t>r in the form of total assets VA</w:t>
      </w:r>
      <w:r w:rsidRPr="00F578A3">
        <w:rPr>
          <w:rFonts w:ascii="Times New Roman" w:hAnsi="Times New Roman"/>
        </w:rPr>
        <w:t>R, as they believed that this type of indicator might play an important role in determining the level of rating due to its easy computability and data availability to the public. They focused on the capital, assets, management, earning, liquidity, market risk based composite CAMELS rating and the standard and poor’s ratings. The choice of their sample was determined by the fact that cross section data is probably less appropriate given the specific character of the relatively small banking market in the Czech Republic. The three chosen banks Ceska Sporirelna (CS), Komerni Banka (KB), and Ceskoslovenska Obchodni Banka (CSOB), cover a dominant portion of the market, the rest being occupied by small narrowly specialized banks or foreign bank branches. Therefore, they used panel data with three banks and their financial indicators to analyze the change in the CAMELS and S&amp;P ratings. They found that the reliable predictors of a banks S&amp;P rating are credit spread, capital adequacy, and the total loans to total assets ratio. In the case of the CAMELS rating does not yield itself easily to predictions within any horizon with the studies technique. On the contrary, the S&amp;P rating can be relatively precisely predicted one month in advance.</w:t>
      </w:r>
    </w:p>
    <w:p w:rsidR="00DA4DD8" w:rsidRPr="00F578A3" w:rsidRDefault="00DA4DD8" w:rsidP="00FD1AA2">
      <w:pPr>
        <w:tabs>
          <w:tab w:val="center" w:pos="1530"/>
        </w:tabs>
        <w:spacing w:after="240" w:line="360" w:lineRule="auto"/>
        <w:jc w:val="both"/>
        <w:rPr>
          <w:rFonts w:ascii="Times New Roman" w:hAnsi="Times New Roman"/>
        </w:rPr>
      </w:pPr>
      <w:r w:rsidRPr="00F578A3">
        <w:rPr>
          <w:rFonts w:ascii="Times New Roman" w:hAnsi="Times New Roman"/>
        </w:rPr>
        <w:t>Baral (2005) has conducted a research and published his paper in the journal of Nepalese business studies</w:t>
      </w:r>
      <w:r w:rsidRPr="00D45B61">
        <w:rPr>
          <w:rFonts w:ascii="Times New Roman" w:hAnsi="Times New Roman"/>
        </w:rPr>
        <w:t>. “On Health Check-up”</w:t>
      </w:r>
      <w:r w:rsidRPr="00F578A3">
        <w:rPr>
          <w:rFonts w:ascii="Times New Roman" w:hAnsi="Times New Roman"/>
        </w:rPr>
        <w:t xml:space="preserve"> published his paper abstract in the journal of Nepalese business Studies (Volume II No.1, December 2005) of commercial bank in the framework off CAMEL, a case study of joint venture banks in Nepal. The paper examines the financial health of joint venture banks in the CAMEL framework for a period ranging from fiscal year 2001 to 2004. Three joint venture commercial bank of Nepal were randomly selected for the study. The study was based on historical data disclosed by annual reports of commercial banks. It has covered four fiscal years data for the purpose of study. The study was based totally on the CAMEL framework.</w:t>
      </w:r>
    </w:p>
    <w:p w:rsidR="00DA4DD8" w:rsidRPr="00F578A3" w:rsidRDefault="00DA4DD8" w:rsidP="00FD1AA2">
      <w:pPr>
        <w:tabs>
          <w:tab w:val="center" w:pos="1530"/>
        </w:tabs>
        <w:spacing w:after="240" w:line="360" w:lineRule="auto"/>
        <w:jc w:val="both"/>
        <w:rPr>
          <w:rFonts w:ascii="Times New Roman" w:hAnsi="Times New Roman"/>
        </w:rPr>
      </w:pPr>
      <w:r w:rsidRPr="00F578A3">
        <w:rPr>
          <w:rFonts w:ascii="Times New Roman" w:hAnsi="Times New Roman"/>
        </w:rPr>
        <w:t xml:space="preserve">Ridwan Nurazi and Michael Evans (2005), Published an article on “An Indonesian Study of the Use of CAMEL(S) Ratios as Predictors of Bank Failure” This study investigates whether CAMEL(S) ratios can be used to predict bank failure. Based on the literature Review, the study used 13 variables representing CAMEL ratios, one representing sensitivity to market risk, and one representing bank size. Most of the analysis was done using multivariate logistic regression since it is more flexible and </w:t>
      </w:r>
      <w:r w:rsidRPr="00F578A3">
        <w:rPr>
          <w:rFonts w:ascii="Times New Roman" w:hAnsi="Times New Roman"/>
        </w:rPr>
        <w:lastRenderedPageBreak/>
        <w:t xml:space="preserve">relatively free of restrictions. To evaluate for consistency, multiple discriminate analysis was also carried out. The results found that logistic regression in tandem with multiple discriminate analyses could function as an early warning system for identifying bank failure and as a complements to one size examination. The results suggest that the variables ECTA (adequacy ratio), RORA (assets quality), ROA (Management), OEOI (Earnings), CBDT(Liquidity), and LGBS(Bank size) are statistically significant in explaining bank failure. Therefore, stakeholders should focus on these variables to identify and solve banking problems. </w:t>
      </w:r>
    </w:p>
    <w:p w:rsidR="00DA4DD8" w:rsidRPr="00F578A3" w:rsidRDefault="00DA4DD8" w:rsidP="00FD1AA2">
      <w:pPr>
        <w:tabs>
          <w:tab w:val="center" w:pos="1530"/>
        </w:tabs>
        <w:spacing w:after="240" w:line="360" w:lineRule="auto"/>
        <w:jc w:val="both"/>
        <w:rPr>
          <w:rFonts w:ascii="Times New Roman" w:hAnsi="Times New Roman"/>
        </w:rPr>
      </w:pPr>
      <w:r w:rsidRPr="00F578A3">
        <w:rPr>
          <w:rFonts w:ascii="Times New Roman" w:hAnsi="Times New Roman"/>
        </w:rPr>
        <w:t xml:space="preserve"> Cole and Gunther (2008) in their article </w:t>
      </w:r>
      <w:r w:rsidRPr="006154EE">
        <w:rPr>
          <w:rFonts w:ascii="Times New Roman" w:hAnsi="Times New Roman"/>
        </w:rPr>
        <w:t>“A CAMEL Rating’s Shelf Life”</w:t>
      </w:r>
      <w:r w:rsidRPr="00F578A3">
        <w:rPr>
          <w:rFonts w:ascii="Times New Roman" w:hAnsi="Times New Roman"/>
        </w:rPr>
        <w:t xml:space="preserve"> have stated that under more stable financial conditions, CAMEL rating typically remains accurate for relatively long periods. Also, off-site monitoring systems depend on the integrity of data, which can be enhanced through regular periodic exams. Moreover, the examination process and the CAMEL ratings it generates have numerous important uses, many of which are quite distinct from the relatively narrow application of off-site monitoring systems for the identification of bank failures. The CAMEL ratings can change only when financial conditions change appreciably, as was the case during the particularly volatile time period.</w:t>
      </w:r>
    </w:p>
    <w:p w:rsidR="00DA4DD8" w:rsidRPr="00F578A3" w:rsidRDefault="00DA4DD8" w:rsidP="00FD1AA2">
      <w:pPr>
        <w:spacing w:after="240" w:line="360" w:lineRule="auto"/>
        <w:jc w:val="both"/>
        <w:rPr>
          <w:rFonts w:ascii="Times New Roman" w:hAnsi="Times New Roman"/>
          <w:color w:val="000000"/>
        </w:rPr>
      </w:pPr>
      <w:r w:rsidRPr="00F578A3">
        <w:rPr>
          <w:rFonts w:ascii="Times New Roman" w:hAnsi="Times New Roman"/>
          <w:color w:val="000000"/>
        </w:rPr>
        <w:t>Generally speaking, CAMEL ratings are designed to reflect a bank’s financial condition, its compliance with laws and regulatory policies, and the quality of its management and systems of internal control. Only through comprehensive, on site exams can regulators determine whether a bank’s management is operating the institutions in accordance with the laws and regulations designed to promote safety and soundness. Moreover, the complex financial reviews that accompany an exam, together with the associated dialog between examiners and bank management, are necessary to assess accurately a bank’s credit quality and overall financial posture. Given the multiple dimensions and uses of CAMEL ratings, it would be exceedingly difficult to construct a single comprehensive metric of their information content.</w:t>
      </w:r>
    </w:p>
    <w:p w:rsidR="00DA4DD8" w:rsidRPr="00F578A3" w:rsidRDefault="00DA4DD8" w:rsidP="00FD1AA2">
      <w:pPr>
        <w:spacing w:after="240" w:line="360" w:lineRule="auto"/>
        <w:jc w:val="both"/>
        <w:rPr>
          <w:rFonts w:ascii="Times New Roman" w:hAnsi="Times New Roman"/>
          <w:color w:val="000000"/>
        </w:rPr>
      </w:pPr>
      <w:r w:rsidRPr="00F578A3">
        <w:rPr>
          <w:rFonts w:ascii="Times New Roman" w:hAnsi="Times New Roman"/>
          <w:color w:val="000000"/>
        </w:rPr>
        <w:t xml:space="preserve">Atikogullari (2009), in this article, </w:t>
      </w:r>
      <w:r w:rsidRPr="00963238">
        <w:rPr>
          <w:rFonts w:ascii="Times New Roman" w:hAnsi="Times New Roman"/>
          <w:color w:val="000000"/>
        </w:rPr>
        <w:t xml:space="preserve">“An Analysis of the Northern Cyprus Banking Sector in the post-2001 Period through the CAMELS Approach”, </w:t>
      </w:r>
      <w:r w:rsidRPr="00F578A3">
        <w:rPr>
          <w:rFonts w:ascii="Times New Roman" w:hAnsi="Times New Roman"/>
          <w:color w:val="000000"/>
        </w:rPr>
        <w:t xml:space="preserve">has analyzed the TRNC banking sector in the post-2001 period to assess the performance of the sector after the TRNC banking crisis of 2000-2001 through the CAMELS approach. </w:t>
      </w:r>
      <w:r w:rsidRPr="00F578A3">
        <w:rPr>
          <w:rFonts w:ascii="Times New Roman" w:hAnsi="Times New Roman"/>
          <w:color w:val="000000"/>
        </w:rPr>
        <w:lastRenderedPageBreak/>
        <w:t>According to this approach, the balance sheets of the top five banks with the largest asset size have been analyzed in terms of capital adequacy, asset and management quality, earning ability, liquidity and assets size. As a result of this analysis, a number of conclusions have been obtained.</w:t>
      </w:r>
    </w:p>
    <w:p w:rsidR="00DA4DD8" w:rsidRPr="00F578A3" w:rsidRDefault="00DA4DD8" w:rsidP="00FD1AA2">
      <w:pPr>
        <w:spacing w:after="240" w:line="360" w:lineRule="auto"/>
        <w:jc w:val="both"/>
        <w:rPr>
          <w:rFonts w:ascii="Times New Roman" w:hAnsi="Times New Roman"/>
          <w:color w:val="000000"/>
        </w:rPr>
      </w:pPr>
      <w:r w:rsidRPr="00F578A3">
        <w:rPr>
          <w:rFonts w:ascii="Times New Roman" w:hAnsi="Times New Roman"/>
          <w:color w:val="000000"/>
        </w:rPr>
        <w:t xml:space="preserve">Sangmi and Nazir (2010), Published an article on </w:t>
      </w:r>
      <w:r w:rsidRPr="00D45B61">
        <w:rPr>
          <w:rFonts w:ascii="Times New Roman" w:hAnsi="Times New Roman"/>
          <w:color w:val="000000"/>
        </w:rPr>
        <w:t>“Analyzing Financial Performance of Commercial Banks in India: Application of CAMEL Model”</w:t>
      </w:r>
      <w:r w:rsidRPr="00F578A3">
        <w:rPr>
          <w:rFonts w:ascii="Times New Roman" w:hAnsi="Times New Roman"/>
          <w:color w:val="000000"/>
        </w:rPr>
        <w:t xml:space="preserve"> the study focused an effort has been made to evaluate the financial performance of the two major banks operating in northern India. This evaluation has been done by using CAMEL Parameters, the latest model of financial analysis. Through this model it is highlighted that the position of the banks under study is sound and satisfactory so far as their capital adequacy, assets quality, Management capability and liquidity is concerned.</w:t>
      </w:r>
    </w:p>
    <w:p w:rsidR="00DA4DD8" w:rsidRPr="00F578A3" w:rsidRDefault="00DA4DD8" w:rsidP="00FD1AA2">
      <w:pPr>
        <w:spacing w:after="240" w:line="360" w:lineRule="auto"/>
        <w:jc w:val="both"/>
        <w:rPr>
          <w:rFonts w:ascii="Times New Roman" w:hAnsi="Times New Roman"/>
          <w:color w:val="000000"/>
        </w:rPr>
      </w:pPr>
      <w:r w:rsidRPr="00F578A3">
        <w:rPr>
          <w:rFonts w:ascii="Times New Roman" w:hAnsi="Times New Roman"/>
          <w:color w:val="000000"/>
        </w:rPr>
        <w:t xml:space="preserve">Jaffar,M and Manarvi,I (2011), Published an article on </w:t>
      </w:r>
      <w:r w:rsidRPr="00D45B61">
        <w:rPr>
          <w:rFonts w:ascii="Times New Roman" w:hAnsi="Times New Roman"/>
          <w:color w:val="000000"/>
        </w:rPr>
        <w:t>“Performance Comparison of Islamic and Conventional Banks in Pakistan”</w:t>
      </w:r>
      <w:r w:rsidRPr="00F578A3">
        <w:rPr>
          <w:rFonts w:ascii="Times New Roman" w:hAnsi="Times New Roman"/>
          <w:color w:val="000000"/>
        </w:rPr>
        <w:t xml:space="preserve"> The study examined and compared the performance of Islamic and Conventional  banks operating  inside Pakistan during 2005 to 2009 analyzing CAMEL test standard factors such as capital adequacy, assets quality, management quality, earning ability and liquidity position. The financial data for the study was mined from the banks financial statements existing on state bank of Pakistan website. A sample of 5 Islamic Banks and 5 Conventional banks were selected to measure and compare their performance. Each year the average ratios were considered, because some of the young Islamic banks in the sample do not have 5 years of financial data. CAMEL test which is a standard test to check the health of financial institutions was used to determine the performance of Islamic and Conventional banks. The study found that Islamic banks performed better in possessing adequate capital and better liquidity position while conventional banks pioneered in management quality and earning ability. Assets quality for both modes of banking was almost the same, conventional banks recorded slightly smaller loan loss ratio showing improved loan recovery policy whereas, UNCOL ratio analysis showed a nominal better performance for Islamic banks.</w:t>
      </w:r>
    </w:p>
    <w:p w:rsidR="00407B29" w:rsidRDefault="00407B29">
      <w:pPr>
        <w:spacing w:after="200" w:line="276" w:lineRule="auto"/>
        <w:rPr>
          <w:rFonts w:ascii="Times New Roman" w:hAnsi="Times New Roman"/>
          <w:b/>
          <w:color w:val="000000"/>
          <w:sz w:val="28"/>
        </w:rPr>
      </w:pPr>
      <w:r>
        <w:rPr>
          <w:rFonts w:ascii="Times New Roman" w:hAnsi="Times New Roman"/>
          <w:b/>
          <w:color w:val="000000"/>
          <w:sz w:val="28"/>
        </w:rPr>
        <w:br w:type="page"/>
      </w:r>
    </w:p>
    <w:p w:rsidR="00DA4DD8" w:rsidRPr="00407B29" w:rsidRDefault="00DA4DD8" w:rsidP="00FD1AA2">
      <w:pPr>
        <w:spacing w:after="240" w:line="360" w:lineRule="auto"/>
        <w:jc w:val="both"/>
        <w:rPr>
          <w:rFonts w:ascii="Times New Roman" w:hAnsi="Times New Roman"/>
          <w:b/>
          <w:color w:val="000000"/>
          <w:sz w:val="28"/>
        </w:rPr>
      </w:pPr>
      <w:r w:rsidRPr="00407B29">
        <w:rPr>
          <w:rFonts w:ascii="Times New Roman" w:hAnsi="Times New Roman"/>
          <w:b/>
          <w:color w:val="000000"/>
          <w:sz w:val="28"/>
        </w:rPr>
        <w:lastRenderedPageBreak/>
        <w:t xml:space="preserve">2.3.2 </w:t>
      </w:r>
      <w:r w:rsidR="002A03BE" w:rsidRPr="00407B29">
        <w:rPr>
          <w:rFonts w:ascii="Times New Roman" w:hAnsi="Times New Roman"/>
          <w:b/>
          <w:color w:val="000000"/>
          <w:sz w:val="28"/>
        </w:rPr>
        <w:tab/>
      </w:r>
      <w:r w:rsidRPr="00407B29">
        <w:rPr>
          <w:rFonts w:ascii="Times New Roman" w:hAnsi="Times New Roman"/>
          <w:b/>
          <w:color w:val="000000"/>
          <w:sz w:val="28"/>
        </w:rPr>
        <w:t>Review of Thesis</w:t>
      </w:r>
    </w:p>
    <w:p w:rsidR="00DA4DD8" w:rsidRPr="00F578A3" w:rsidRDefault="00DA4DD8" w:rsidP="00FD1AA2">
      <w:pPr>
        <w:spacing w:after="240" w:line="360" w:lineRule="auto"/>
        <w:jc w:val="both"/>
        <w:rPr>
          <w:rFonts w:ascii="Times New Roman" w:hAnsi="Times New Roman"/>
          <w:color w:val="000000"/>
        </w:rPr>
      </w:pPr>
      <w:r w:rsidRPr="00F578A3">
        <w:rPr>
          <w:rFonts w:ascii="Times New Roman" w:hAnsi="Times New Roman"/>
          <w:color w:val="000000"/>
        </w:rPr>
        <w:t>Prior to this, several thesis works have been conducted by various researchers regarding different aspects of commercial banks like financial performance, capital structure, investment policy, interest rate structure and resources mobilization. Some of researcher works are relevant for these studies are reviewed over here.</w:t>
      </w:r>
    </w:p>
    <w:p w:rsidR="00DA4DD8" w:rsidRPr="00F578A3" w:rsidRDefault="00DA4DD8" w:rsidP="00FD1AA2">
      <w:pPr>
        <w:spacing w:after="240" w:line="360" w:lineRule="auto"/>
        <w:jc w:val="both"/>
        <w:rPr>
          <w:rFonts w:ascii="Times New Roman" w:hAnsi="Times New Roman"/>
          <w:color w:val="000000"/>
        </w:rPr>
      </w:pPr>
      <w:r w:rsidRPr="00F578A3">
        <w:rPr>
          <w:rFonts w:ascii="Times New Roman" w:hAnsi="Times New Roman"/>
          <w:color w:val="000000"/>
        </w:rPr>
        <w:t xml:space="preserve">Poudel (2002), has conducted a research study on </w:t>
      </w:r>
      <w:r w:rsidRPr="00D45B61">
        <w:rPr>
          <w:rFonts w:ascii="Times New Roman" w:hAnsi="Times New Roman"/>
          <w:color w:val="000000"/>
        </w:rPr>
        <w:t>“Financial Performance Analysis of EBL” has focused with the objectives as to e</w:t>
      </w:r>
      <w:r w:rsidRPr="00F578A3">
        <w:rPr>
          <w:rFonts w:ascii="Times New Roman" w:hAnsi="Times New Roman"/>
          <w:color w:val="000000"/>
        </w:rPr>
        <w:t>xamine the financial statement of the bank and analyze them to see the financial soundness of the bank to observe the return over the equity to highlight the relationship between different variables. The research provides suggestions and recommendation for the improvement of the future performance of EBL based on the findings of the analysis.</w:t>
      </w:r>
    </w:p>
    <w:p w:rsidR="00DA4DD8" w:rsidRPr="00F578A3" w:rsidRDefault="00DA4DD8" w:rsidP="00FD1AA2">
      <w:pPr>
        <w:spacing w:after="240" w:line="360" w:lineRule="auto"/>
        <w:jc w:val="both"/>
        <w:rPr>
          <w:rFonts w:ascii="Times New Roman" w:hAnsi="Times New Roman"/>
          <w:color w:val="000000"/>
        </w:rPr>
      </w:pPr>
      <w:r w:rsidRPr="00F578A3">
        <w:rPr>
          <w:rFonts w:ascii="Times New Roman" w:hAnsi="Times New Roman"/>
          <w:color w:val="000000"/>
        </w:rPr>
        <w:t>The study is found that the liquidity position of the bank to meet the daily cash requirement is sound. There is strong position regarding the mobilization of total deposit on loan and advances, normal position and decreasing trend of regarding the mobilization of total deposit as investment and bank has average position towards the utilization of working fund. Analysis of EPS reveals that the bank has very good increasing trend regarding EPS even through first two years shows the negative figure. The trend analysis of deposit, net profit, loan and advances and EPS shows the increasing trend even though the value shows in the beginning of studying period.</w:t>
      </w:r>
    </w:p>
    <w:p w:rsidR="00DA4DD8" w:rsidRPr="00F578A3" w:rsidRDefault="00DA4DD8" w:rsidP="00FD1AA2">
      <w:pPr>
        <w:spacing w:after="240" w:line="360" w:lineRule="auto"/>
        <w:jc w:val="both"/>
        <w:rPr>
          <w:rFonts w:ascii="Times New Roman" w:hAnsi="Times New Roman"/>
          <w:color w:val="000000"/>
        </w:rPr>
      </w:pPr>
      <w:r w:rsidRPr="00F578A3">
        <w:rPr>
          <w:rFonts w:ascii="Times New Roman" w:hAnsi="Times New Roman"/>
          <w:color w:val="000000"/>
        </w:rPr>
        <w:t xml:space="preserve">Ghimire (2003), conducted research work on </w:t>
      </w:r>
      <w:r w:rsidRPr="00D45B61">
        <w:rPr>
          <w:rFonts w:ascii="Times New Roman" w:hAnsi="Times New Roman"/>
          <w:color w:val="000000"/>
        </w:rPr>
        <w:t>“A comparative case study of the Financial Performance of Commercial banks between NBBL, HBL and EBL</w:t>
      </w:r>
      <w:r w:rsidRPr="00D45B61">
        <w:rPr>
          <w:rFonts w:ascii="Times New Roman" w:hAnsi="Times New Roman"/>
          <w:b/>
          <w:color w:val="000000"/>
        </w:rPr>
        <w:t>”.</w:t>
      </w:r>
      <w:r w:rsidRPr="00F578A3">
        <w:rPr>
          <w:rFonts w:ascii="Times New Roman" w:hAnsi="Times New Roman"/>
          <w:b/>
          <w:i/>
          <w:color w:val="000000"/>
        </w:rPr>
        <w:t xml:space="preserve"> </w:t>
      </w:r>
      <w:r w:rsidRPr="00F578A3">
        <w:rPr>
          <w:rFonts w:ascii="Times New Roman" w:hAnsi="Times New Roman"/>
          <w:color w:val="000000"/>
        </w:rPr>
        <w:t>To observe the ability to mobilize the resources in to investment, ability to maintain and manage liquidity, assets, capital, structure, efficiency, productive and financial risk.</w:t>
      </w:r>
    </w:p>
    <w:p w:rsidR="00DA4DD8" w:rsidRPr="00F578A3" w:rsidRDefault="00DA4DD8" w:rsidP="00FD1AA2">
      <w:pPr>
        <w:spacing w:after="240" w:line="360" w:lineRule="auto"/>
        <w:jc w:val="both"/>
        <w:rPr>
          <w:rFonts w:ascii="Times New Roman" w:hAnsi="Times New Roman"/>
          <w:color w:val="000000"/>
        </w:rPr>
      </w:pPr>
      <w:r w:rsidRPr="00F578A3">
        <w:rPr>
          <w:rFonts w:ascii="Times New Roman" w:hAnsi="Times New Roman"/>
          <w:color w:val="000000"/>
        </w:rPr>
        <w:t>The research objectives were to highlight financial performance to analyze and evaluate liquidity, profitability, leverage, activity, trend and growth of loans, investment and total deposit pattern of these banks and finally recommended suggestions for improvement. The research design was descriptive and analytical where both financial and statistical tools we used to analyze the data. The study was from 1996/97 to 2000/01. It includes that current ratio of all the banks was below the normal standard even comparatively better in EBL.</w:t>
      </w:r>
    </w:p>
    <w:p w:rsidR="00DA4DD8" w:rsidRPr="00F578A3" w:rsidRDefault="00DA4DD8" w:rsidP="002A03BE">
      <w:pPr>
        <w:spacing w:after="240" w:line="360" w:lineRule="auto"/>
        <w:jc w:val="both"/>
        <w:rPr>
          <w:rFonts w:ascii="Times New Roman" w:hAnsi="Times New Roman"/>
          <w:i/>
          <w:color w:val="000000"/>
        </w:rPr>
      </w:pPr>
      <w:r w:rsidRPr="00F578A3">
        <w:rPr>
          <w:rFonts w:ascii="Times New Roman" w:hAnsi="Times New Roman"/>
          <w:color w:val="000000"/>
        </w:rPr>
        <w:lastRenderedPageBreak/>
        <w:t>Shrestha (2003), has conducted a research study on</w:t>
      </w:r>
      <w:r w:rsidR="002A03BE">
        <w:rPr>
          <w:rFonts w:ascii="Times New Roman" w:hAnsi="Times New Roman"/>
          <w:color w:val="000000"/>
        </w:rPr>
        <w:t xml:space="preserve"> </w:t>
      </w:r>
      <w:r w:rsidR="00D45B61">
        <w:rPr>
          <w:rFonts w:ascii="Times New Roman" w:hAnsi="Times New Roman"/>
          <w:color w:val="000000"/>
        </w:rPr>
        <w:t>“</w:t>
      </w:r>
      <w:r w:rsidRPr="00D45B61">
        <w:rPr>
          <w:rFonts w:ascii="Times New Roman" w:hAnsi="Times New Roman"/>
          <w:color w:val="000000"/>
        </w:rPr>
        <w:t>Capital adequacy Norms for Commercial Banks and its impact of Bank of Kathmandu and Himalayan Bank Ltd”.</w:t>
      </w:r>
      <w:r w:rsidRPr="00F578A3">
        <w:rPr>
          <w:rFonts w:ascii="Times New Roman" w:hAnsi="Times New Roman"/>
          <w:i/>
          <w:color w:val="000000"/>
        </w:rPr>
        <w:t xml:space="preserve"> </w:t>
      </w:r>
      <w:r w:rsidRPr="00F578A3">
        <w:rPr>
          <w:rFonts w:ascii="Times New Roman" w:hAnsi="Times New Roman"/>
          <w:color w:val="000000"/>
        </w:rPr>
        <w:t>The main objective of the study was to evaluate that BOK and HBL are found to be successful to comply with requirement of capital adequacy norms. The CD ratio of HBL is very much low which needs to be improved immediately and CD ratio of BOK is satisfactory. Although, the banks are successful to meet the capital adequacy requirement as per NRB directive</w:t>
      </w:r>
      <w:r w:rsidRPr="00F578A3">
        <w:rPr>
          <w:rFonts w:ascii="Times New Roman" w:hAnsi="Times New Roman"/>
          <w:i/>
          <w:color w:val="000000"/>
        </w:rPr>
        <w:t>.</w:t>
      </w:r>
    </w:p>
    <w:p w:rsidR="00DA4DD8" w:rsidRPr="00F578A3" w:rsidRDefault="00DA4DD8" w:rsidP="00FD1AA2">
      <w:pPr>
        <w:spacing w:after="240" w:line="360" w:lineRule="auto"/>
        <w:jc w:val="both"/>
        <w:rPr>
          <w:rFonts w:ascii="Times New Roman" w:hAnsi="Times New Roman"/>
          <w:color w:val="000000"/>
        </w:rPr>
      </w:pPr>
      <w:r w:rsidRPr="00F578A3">
        <w:rPr>
          <w:rFonts w:ascii="Times New Roman" w:hAnsi="Times New Roman"/>
          <w:color w:val="000000"/>
        </w:rPr>
        <w:t>Bhandari (2006) has conducted a research study on “Financial Performance Analysis of Himalayan Bank Limited in the Framework of CAMEL”. The main objective of the study was to analyze the financial performance of Himalayan Bank Limited through CAMEL framework. He had used secondary data for the period of six years from 1999 to 2004. The study revealed the adequate capital of the bank. The non performing loan was in decreasing trend, which shows the improvement of the bank. The bank is still better with return which is proved by its better RO; however it is in decreasing trend. The decreasing trend of net interest margin shows management slack monitoring over the banks earning assets. The liquid fund to total deposit ratio is above the industrial average ratio. NRB balance and cash in vault to total deposit ratios are below the industrial average ratio during the study period.</w:t>
      </w:r>
    </w:p>
    <w:p w:rsidR="00DA4DD8" w:rsidRPr="00F578A3" w:rsidRDefault="00DA4DD8" w:rsidP="00FD1AA2">
      <w:pPr>
        <w:spacing w:after="240" w:line="360" w:lineRule="auto"/>
        <w:jc w:val="both"/>
        <w:rPr>
          <w:rFonts w:ascii="Times New Roman" w:hAnsi="Times New Roman"/>
          <w:color w:val="000000"/>
        </w:rPr>
      </w:pPr>
      <w:r w:rsidRPr="00F578A3">
        <w:rPr>
          <w:rFonts w:ascii="Times New Roman" w:hAnsi="Times New Roman"/>
          <w:color w:val="000000"/>
        </w:rPr>
        <w:t xml:space="preserve">Sharma (2007) has conducted a research study on </w:t>
      </w:r>
      <w:r w:rsidRPr="00C65B82">
        <w:rPr>
          <w:rFonts w:ascii="Times New Roman" w:hAnsi="Times New Roman"/>
          <w:color w:val="000000"/>
        </w:rPr>
        <w:t>“Financial Performance Analysis of Nepal SBI Bank</w:t>
      </w:r>
      <w:r w:rsidR="00C65B82">
        <w:rPr>
          <w:rFonts w:ascii="Times New Roman" w:hAnsi="Times New Roman"/>
          <w:color w:val="000000"/>
        </w:rPr>
        <w:t xml:space="preserve"> Ltd. In the framework of CAMEL.</w:t>
      </w:r>
      <w:r w:rsidRPr="00C65B82">
        <w:rPr>
          <w:rFonts w:ascii="Times New Roman" w:hAnsi="Times New Roman"/>
          <w:color w:val="000000"/>
        </w:rPr>
        <w:t>”</w:t>
      </w:r>
      <w:r w:rsidR="00C65B82">
        <w:rPr>
          <w:rFonts w:ascii="Times New Roman" w:hAnsi="Times New Roman"/>
          <w:color w:val="000000"/>
        </w:rPr>
        <w:t xml:space="preserve"> </w:t>
      </w:r>
      <w:r w:rsidRPr="00C65B82">
        <w:rPr>
          <w:rFonts w:ascii="Times New Roman" w:hAnsi="Times New Roman"/>
          <w:color w:val="000000"/>
        </w:rPr>
        <w:t>T</w:t>
      </w:r>
      <w:r w:rsidRPr="00F578A3">
        <w:rPr>
          <w:rFonts w:ascii="Times New Roman" w:hAnsi="Times New Roman"/>
          <w:color w:val="000000"/>
        </w:rPr>
        <w:t>he main objective of the study to analyze the financial performance of Nepal SBI bank Ltd.   Through CAMEL framework, the study was based on secondary data covering the six years from 2001 to 2006. The researcher conducts the financial tools to analyze the six years data. He concluded that SBI bank Ltd. was well capitalized and complying with directives of NRB. The banks has maintained satisfactory level of past due loan on total loan except 2001. Earning per employees of the bank was found quite high. Net interest margin of the bank was found satisfactory. Further the liquidity position of the bank was found sound.</w:t>
      </w:r>
    </w:p>
    <w:p w:rsidR="00DA4DD8" w:rsidRPr="00F578A3" w:rsidRDefault="00DA4DD8" w:rsidP="00FD1AA2">
      <w:pPr>
        <w:spacing w:after="240" w:line="360" w:lineRule="auto"/>
        <w:jc w:val="both"/>
        <w:rPr>
          <w:rFonts w:ascii="Times New Roman" w:hAnsi="Times New Roman"/>
          <w:color w:val="000000"/>
        </w:rPr>
      </w:pPr>
      <w:r w:rsidRPr="00F578A3">
        <w:rPr>
          <w:rFonts w:ascii="Times New Roman" w:hAnsi="Times New Roman"/>
          <w:color w:val="000000"/>
        </w:rPr>
        <w:t xml:space="preserve">Poudel (2007) has conducted a research study on “A Study on Comparative analysis of financial performance between Himalayan Bank and Standard Chartered Bank” was provided comparative financial performance of SCBNL and HBL only five fiscal </w:t>
      </w:r>
      <w:r w:rsidRPr="00F578A3">
        <w:rPr>
          <w:rFonts w:ascii="Times New Roman" w:hAnsi="Times New Roman"/>
          <w:color w:val="000000"/>
        </w:rPr>
        <w:lastRenderedPageBreak/>
        <w:t>years financial performance beginning from 2002 to 2007 were analyzed. In this study financial and statistical tools were used to evaluate the performance of banks. In financial tools liquidity, activity, profitability, structural and income and expenditure ratios. Further, the researcher used the method of least square to find out the trend of different financial indicators he found that the performance of SCBNL is better than that of HBL.</w:t>
      </w:r>
    </w:p>
    <w:p w:rsidR="00DA4DD8" w:rsidRPr="00F578A3" w:rsidRDefault="00DA4DD8" w:rsidP="00FD1AA2">
      <w:pPr>
        <w:spacing w:after="240" w:line="360" w:lineRule="auto"/>
        <w:jc w:val="both"/>
        <w:rPr>
          <w:rFonts w:ascii="Times New Roman" w:hAnsi="Times New Roman"/>
          <w:color w:val="000000"/>
        </w:rPr>
      </w:pPr>
      <w:r w:rsidRPr="00F578A3">
        <w:rPr>
          <w:rFonts w:ascii="Times New Roman" w:hAnsi="Times New Roman"/>
          <w:color w:val="000000"/>
        </w:rPr>
        <w:t>Bhusal (2008)  has conducted a research study on “Financial Performance Analysis of Commercial Banks in Nepal the Frame Work of CAMEL (A Comparative Study of Kumari Bank and Machhapuchhre Bank”, with the fundamental objective of analyze and compare the financial performance of KBL and MBL in the Framework of CAMEL from 2058/59 to 2062/63. With the help of both secondary data as well as primary data, she conducted her study by applying some financial and statistical tools and techniques. Her study shows both banks are maintaining CAR as per the rule of NRB and the trend of CAR is decreasing.  Both banks are much satisfactory level in the case of assets management. Increasing profit of both banks shows the good sign but it is not enough to meet benchmark set by the World Bank. In the case of liquidity both banks are not properly maintaining the rule of NRB. In her overall analysis there is tough competition between KBL and MBL both are in the phase of improvement.</w:t>
      </w:r>
    </w:p>
    <w:p w:rsidR="00DA4DD8" w:rsidRPr="00F578A3" w:rsidRDefault="00DA4DD8" w:rsidP="00FD1AA2">
      <w:pPr>
        <w:spacing w:after="240" w:line="360" w:lineRule="auto"/>
        <w:jc w:val="both"/>
        <w:rPr>
          <w:rFonts w:ascii="Times New Roman" w:hAnsi="Times New Roman"/>
          <w:color w:val="000000"/>
        </w:rPr>
      </w:pPr>
      <w:r w:rsidRPr="00F578A3">
        <w:rPr>
          <w:rFonts w:ascii="Times New Roman" w:hAnsi="Times New Roman"/>
          <w:color w:val="000000"/>
        </w:rPr>
        <w:t>Gurung (2009) “Financial Performance Analysis of Domestic Private Commercial Banks in Nepal in the Framework of CAMEL.”The main objective of the study is to evaluate the performance of selected domestic private banks in Nepal in the framework of CAMEL during the period 2001/02 to 2006 /07.The financial data extracted from annual report and other relevant documents are analyzed and interpreted to get valuable insights into a firms performance and position. In this study, different indicators of each component of CAMEL are calculated in the form of financial ratios. The financial ratio obtained are compared with Nepal Rastra bank standard, industrial average and trend of the ratio are analyzed to know where the bank’s position has been improving or deteriorating overtime.</w:t>
      </w:r>
    </w:p>
    <w:p w:rsidR="00DA4DD8" w:rsidRDefault="00DA4DD8" w:rsidP="00FD1AA2">
      <w:pPr>
        <w:spacing w:after="240" w:line="360" w:lineRule="auto"/>
        <w:jc w:val="both"/>
        <w:rPr>
          <w:rFonts w:ascii="Times New Roman" w:hAnsi="Times New Roman"/>
          <w:color w:val="000000"/>
        </w:rPr>
      </w:pPr>
      <w:r w:rsidRPr="00F578A3">
        <w:rPr>
          <w:rFonts w:ascii="Times New Roman" w:hAnsi="Times New Roman"/>
          <w:color w:val="000000"/>
        </w:rPr>
        <w:t>Maharjan (2009) has conducted a research study on “</w:t>
      </w:r>
      <w:r w:rsidRPr="00F578A3">
        <w:rPr>
          <w:rFonts w:ascii="Times New Roman" w:hAnsi="Times New Roman"/>
          <w:i/>
          <w:color w:val="000000"/>
        </w:rPr>
        <w:t>A comparative study of financial performance of SCBNL, NABIL and NIB</w:t>
      </w:r>
      <w:r w:rsidRPr="00F578A3">
        <w:rPr>
          <w:rFonts w:ascii="Times New Roman" w:hAnsi="Times New Roman"/>
          <w:color w:val="000000"/>
        </w:rPr>
        <w:t xml:space="preserve">L”. The main objective of the study to analyze the financial performance of three sample banks. The major findings of the </w:t>
      </w:r>
      <w:r w:rsidRPr="00F578A3">
        <w:rPr>
          <w:rFonts w:ascii="Times New Roman" w:hAnsi="Times New Roman"/>
          <w:color w:val="000000"/>
        </w:rPr>
        <w:lastRenderedPageBreak/>
        <w:t>study he shows that SCBNL found to be comparatively better than NABIL and NIB, because NABIL and NIBL have aggressive working policy from the liquidity point of view .All sample banks are comparatively successful in assets management. Among sample bank NABIL found to be comparatively best in mobilizing its assets and deposits in profitable sectors in form of loan and advances, investment in government securities. Form the profitability point of view, SCBNL found to better among the sample banks because it pay lower interest rate for debt fund and earn higher interest by mobilizing it deposits and assets to different productive and profitable sectors. The capital base of bank is strong in NIBL, since it has higher capital adequacy ratio. NIBL also has more assets from its shareholders fund which shows they are strong from point of view shareholders fund.</w:t>
      </w:r>
    </w:p>
    <w:p w:rsidR="00D61A65" w:rsidRDefault="00D61A65" w:rsidP="00FD1AA2">
      <w:pPr>
        <w:spacing w:after="240" w:line="360" w:lineRule="auto"/>
        <w:jc w:val="both"/>
        <w:rPr>
          <w:rFonts w:ascii="Times New Roman" w:hAnsi="Times New Roman"/>
          <w:color w:val="000000"/>
        </w:rPr>
      </w:pPr>
      <w:r>
        <w:rPr>
          <w:rFonts w:ascii="Times New Roman" w:hAnsi="Times New Roman"/>
          <w:color w:val="000000"/>
        </w:rPr>
        <w:t>Tiwari (2010) has conducted a research, financial performance analysis of Pokhara finance company limited in the framework of CAMELS. The objective of this study was to examine capital adequacy of POFIL. The study has covered the period of five fiscal year i.e. 2061/062 to 2065/066. This study will contribute significantly to solve the problem existin</w:t>
      </w:r>
      <w:r w:rsidR="00BD384D">
        <w:rPr>
          <w:rFonts w:ascii="Times New Roman" w:hAnsi="Times New Roman"/>
          <w:color w:val="000000"/>
        </w:rPr>
        <w:t>g in the financial institution and</w:t>
      </w:r>
      <w:r>
        <w:rPr>
          <w:rFonts w:ascii="Times New Roman" w:hAnsi="Times New Roman"/>
          <w:color w:val="000000"/>
        </w:rPr>
        <w:t xml:space="preserve"> to formulate the policy </w:t>
      </w:r>
      <w:r w:rsidR="00BD384D">
        <w:rPr>
          <w:rFonts w:ascii="Times New Roman" w:hAnsi="Times New Roman"/>
          <w:color w:val="000000"/>
        </w:rPr>
        <w:t>and</w:t>
      </w:r>
      <w:r>
        <w:rPr>
          <w:rFonts w:ascii="Times New Roman" w:hAnsi="Times New Roman"/>
          <w:color w:val="000000"/>
        </w:rPr>
        <w:t xml:space="preserve"> strategies to maintain activities effectively. The study has analyze the level, trend of assets composition, </w:t>
      </w:r>
      <w:r w:rsidR="00BD384D">
        <w:rPr>
          <w:rFonts w:ascii="Times New Roman" w:hAnsi="Times New Roman"/>
          <w:color w:val="000000"/>
        </w:rPr>
        <w:t>risk weighted</w:t>
      </w:r>
      <w:r>
        <w:rPr>
          <w:rFonts w:ascii="Times New Roman" w:hAnsi="Times New Roman"/>
          <w:color w:val="000000"/>
        </w:rPr>
        <w:t xml:space="preserve"> assets </w:t>
      </w:r>
      <w:r w:rsidR="00BD384D">
        <w:rPr>
          <w:rFonts w:ascii="Times New Roman" w:hAnsi="Times New Roman"/>
          <w:color w:val="000000"/>
        </w:rPr>
        <w:t>and</w:t>
      </w:r>
      <w:r>
        <w:rPr>
          <w:rFonts w:ascii="Times New Roman" w:hAnsi="Times New Roman"/>
          <w:color w:val="000000"/>
        </w:rPr>
        <w:t xml:space="preserve"> quality of loan </w:t>
      </w:r>
      <w:r w:rsidR="00BD384D">
        <w:rPr>
          <w:rFonts w:ascii="Times New Roman" w:hAnsi="Times New Roman"/>
          <w:color w:val="000000"/>
        </w:rPr>
        <w:t>and</w:t>
      </w:r>
      <w:r>
        <w:rPr>
          <w:rFonts w:ascii="Times New Roman" w:hAnsi="Times New Roman"/>
          <w:color w:val="000000"/>
        </w:rPr>
        <w:t xml:space="preserve"> loan provision mix. It </w:t>
      </w:r>
      <w:r w:rsidR="00BD384D">
        <w:rPr>
          <w:rFonts w:ascii="Times New Roman" w:hAnsi="Times New Roman"/>
          <w:color w:val="000000"/>
        </w:rPr>
        <w:t>evaluates</w:t>
      </w:r>
      <w:r>
        <w:rPr>
          <w:rFonts w:ascii="Times New Roman" w:hAnsi="Times New Roman"/>
          <w:color w:val="000000"/>
        </w:rPr>
        <w:t xml:space="preserve"> the condition of POFIL's state on managing their expenses with respect to revenue &amp; the level, trend and stability of POFIL's earnings. The</w:t>
      </w:r>
      <w:r w:rsidR="00242AAE">
        <w:rPr>
          <w:rFonts w:ascii="Times New Roman" w:hAnsi="Times New Roman"/>
          <w:color w:val="000000"/>
        </w:rPr>
        <w:t xml:space="preserve"> study has asset</w:t>
      </w:r>
      <w:r>
        <w:rPr>
          <w:rFonts w:ascii="Times New Roman" w:hAnsi="Times New Roman"/>
          <w:color w:val="000000"/>
        </w:rPr>
        <w:t xml:space="preserve">s the liquidity position and assess sensitivity of POFIL's earnings to interest rate risks.  </w:t>
      </w:r>
    </w:p>
    <w:p w:rsidR="00BD384D" w:rsidRPr="00F578A3" w:rsidRDefault="00BD384D" w:rsidP="00FD1AA2">
      <w:pPr>
        <w:spacing w:after="240" w:line="360" w:lineRule="auto"/>
        <w:jc w:val="both"/>
        <w:rPr>
          <w:rFonts w:ascii="Times New Roman" w:hAnsi="Times New Roman"/>
          <w:color w:val="000000"/>
        </w:rPr>
      </w:pPr>
      <w:r>
        <w:rPr>
          <w:rFonts w:ascii="Times New Roman" w:hAnsi="Times New Roman"/>
          <w:color w:val="000000"/>
        </w:rPr>
        <w:t>Dhungel (2011) has conducted a research, "A comparative analysis of financial performance of Nepal SBI Bank and MBL in framework of CAME</w:t>
      </w:r>
      <w:r w:rsidR="00A71035">
        <w:rPr>
          <w:rFonts w:ascii="Times New Roman" w:hAnsi="Times New Roman"/>
          <w:color w:val="000000"/>
        </w:rPr>
        <w:t>Ls." The objective of the study was to exam</w:t>
      </w:r>
      <w:r w:rsidR="00267BC6">
        <w:rPr>
          <w:rFonts w:ascii="Times New Roman" w:hAnsi="Times New Roman"/>
          <w:color w:val="000000"/>
        </w:rPr>
        <w:t xml:space="preserve">ine </w:t>
      </w:r>
      <w:r w:rsidR="00C604DD">
        <w:rPr>
          <w:rFonts w:ascii="Times New Roman" w:hAnsi="Times New Roman"/>
          <w:color w:val="000000"/>
        </w:rPr>
        <w:t xml:space="preserve">the capital adequacy of banks, to assess the quality of bank's assets, to analyze the efficiency of the bank's management to evaluate the earning </w:t>
      </w:r>
      <w:r w:rsidR="00862EF7">
        <w:rPr>
          <w:rFonts w:ascii="Times New Roman" w:hAnsi="Times New Roman"/>
          <w:color w:val="000000"/>
        </w:rPr>
        <w:t xml:space="preserve">performance </w:t>
      </w:r>
      <w:r w:rsidR="00C543EB">
        <w:rPr>
          <w:rFonts w:ascii="Times New Roman" w:hAnsi="Times New Roman"/>
          <w:color w:val="000000"/>
        </w:rPr>
        <w:t>of the ban and to find</w:t>
      </w:r>
      <w:r w:rsidR="00D60F7A">
        <w:rPr>
          <w:rFonts w:ascii="Times New Roman" w:hAnsi="Times New Roman"/>
          <w:color w:val="000000"/>
        </w:rPr>
        <w:t xml:space="preserve"> out liquidity position of the bank and to assess sensitivity of both banks earning to interest rate risk. This study is comparative financial performance of joint venture bank &amp; domestic private commercial bank where sample is taken as NSBL and MBL which help to know the capacity difference of joint venture and domestic private banks. This study is also done an framework of CAMELS which help to know the existing problems of banks and give </w:t>
      </w:r>
      <w:r w:rsidR="00D60F7A">
        <w:rPr>
          <w:rFonts w:ascii="Times New Roman" w:hAnsi="Times New Roman"/>
          <w:color w:val="000000"/>
        </w:rPr>
        <w:lastRenderedPageBreak/>
        <w:t xml:space="preserve">recommendation for their sound financial health. This research would help the managers to evaluate the performance of their banks. </w:t>
      </w:r>
    </w:p>
    <w:p w:rsidR="00DA4DD8" w:rsidRPr="00CA22DA" w:rsidRDefault="0014232A" w:rsidP="00FD1AA2">
      <w:pPr>
        <w:spacing w:after="240" w:line="360" w:lineRule="auto"/>
        <w:jc w:val="both"/>
        <w:rPr>
          <w:rFonts w:ascii="Times New Roman" w:hAnsi="Times New Roman"/>
          <w:b/>
          <w:color w:val="000000"/>
          <w:sz w:val="28"/>
        </w:rPr>
      </w:pPr>
      <w:r w:rsidRPr="00CA22DA">
        <w:rPr>
          <w:rFonts w:ascii="Times New Roman" w:hAnsi="Times New Roman"/>
          <w:b/>
          <w:color w:val="000000"/>
          <w:sz w:val="28"/>
        </w:rPr>
        <w:t>2.4</w:t>
      </w:r>
      <w:r w:rsidRPr="00CA22DA">
        <w:rPr>
          <w:rFonts w:ascii="Times New Roman" w:hAnsi="Times New Roman"/>
          <w:b/>
          <w:color w:val="000000"/>
          <w:sz w:val="28"/>
        </w:rPr>
        <w:tab/>
      </w:r>
      <w:r w:rsidR="00DA4DD8" w:rsidRPr="00CA22DA">
        <w:rPr>
          <w:rFonts w:ascii="Times New Roman" w:hAnsi="Times New Roman"/>
          <w:b/>
          <w:color w:val="000000"/>
          <w:sz w:val="28"/>
        </w:rPr>
        <w:t>Research Gap</w:t>
      </w:r>
    </w:p>
    <w:p w:rsidR="00DA4DD8" w:rsidRPr="00F578A3" w:rsidRDefault="00DA4DD8" w:rsidP="00FD1AA2">
      <w:pPr>
        <w:spacing w:after="240" w:line="360" w:lineRule="auto"/>
        <w:jc w:val="both"/>
        <w:rPr>
          <w:rFonts w:ascii="Times New Roman" w:hAnsi="Times New Roman"/>
          <w:color w:val="000000"/>
        </w:rPr>
      </w:pPr>
      <w:r w:rsidRPr="00F578A3">
        <w:rPr>
          <w:rFonts w:ascii="Times New Roman" w:hAnsi="Times New Roman"/>
          <w:color w:val="000000"/>
        </w:rPr>
        <w:t xml:space="preserve">Research is the process of searching again and again to get the fact over the problem or issue. Various studies have been conducted on financial performance analysis of commercial banks. The previous studies mainly focused on liquidity, profitability and leverage of the commercial banks. In the context of Nepalese banking environment, there are academic researchers found conducted in the frame work of CAMEL and few researchers are found about Financial performance analysis in the framework of CAMEL. But not found this study has been made about financial performance analysis of </w:t>
      </w:r>
      <w:r w:rsidR="00AD71CB">
        <w:rPr>
          <w:rFonts w:ascii="Times New Roman" w:hAnsi="Times New Roman"/>
          <w:color w:val="000000"/>
        </w:rPr>
        <w:t>Machhapuchhre</w:t>
      </w:r>
      <w:r w:rsidRPr="00F578A3">
        <w:rPr>
          <w:rFonts w:ascii="Times New Roman" w:hAnsi="Times New Roman"/>
          <w:color w:val="000000"/>
        </w:rPr>
        <w:t xml:space="preserve"> Bank ltd in the framework of CAMEL. So, this research is conducted to know actual financial performance of </w:t>
      </w:r>
      <w:r w:rsidR="00AD71CB">
        <w:rPr>
          <w:rFonts w:ascii="Times New Roman" w:hAnsi="Times New Roman"/>
          <w:color w:val="000000"/>
        </w:rPr>
        <w:t>Machhapuchhre</w:t>
      </w:r>
      <w:r w:rsidRPr="00F578A3">
        <w:rPr>
          <w:rFonts w:ascii="Times New Roman" w:hAnsi="Times New Roman"/>
          <w:color w:val="000000"/>
        </w:rPr>
        <w:t xml:space="preserve"> Bank limited in framework of CAMEL. Therefore, </w:t>
      </w:r>
      <w:r w:rsidR="00F21BC5" w:rsidRPr="00F578A3">
        <w:rPr>
          <w:rFonts w:ascii="Times New Roman" w:hAnsi="Times New Roman"/>
          <w:color w:val="000000"/>
        </w:rPr>
        <w:t>financial</w:t>
      </w:r>
      <w:r w:rsidRPr="00F578A3">
        <w:rPr>
          <w:rFonts w:ascii="Times New Roman" w:hAnsi="Times New Roman"/>
          <w:color w:val="000000"/>
        </w:rPr>
        <w:t xml:space="preserve"> performance analysis of commercial banks </w:t>
      </w:r>
      <w:r w:rsidR="002C2C0F">
        <w:rPr>
          <w:rFonts w:ascii="Times New Roman" w:hAnsi="Times New Roman"/>
          <w:color w:val="000000"/>
        </w:rPr>
        <w:t xml:space="preserve">was added </w:t>
      </w:r>
      <w:r w:rsidRPr="00F578A3">
        <w:rPr>
          <w:rFonts w:ascii="Times New Roman" w:hAnsi="Times New Roman"/>
          <w:color w:val="000000"/>
        </w:rPr>
        <w:t>new dimension toward banking function of commercial banks.</w:t>
      </w:r>
    </w:p>
    <w:p w:rsidR="001B296D" w:rsidRPr="001B296D" w:rsidRDefault="00DA4DD8" w:rsidP="00FD1AA2">
      <w:pPr>
        <w:spacing w:after="240" w:line="360" w:lineRule="auto"/>
        <w:jc w:val="center"/>
        <w:rPr>
          <w:rFonts w:ascii="Times New Roman" w:hAnsi="Times New Roman"/>
          <w:b/>
          <w:sz w:val="32"/>
          <w:szCs w:val="32"/>
        </w:rPr>
      </w:pPr>
      <w:r w:rsidRPr="00FD1AA2">
        <w:rPr>
          <w:rFonts w:ascii="Times New Roman" w:hAnsi="Times New Roman"/>
          <w:color w:val="000000"/>
          <w:sz w:val="26"/>
          <w:szCs w:val="26"/>
        </w:rPr>
        <w:br w:type="page"/>
      </w:r>
      <w:r w:rsidRPr="001B296D">
        <w:rPr>
          <w:rFonts w:ascii="Times New Roman" w:hAnsi="Times New Roman"/>
          <w:b/>
          <w:sz w:val="32"/>
          <w:szCs w:val="32"/>
        </w:rPr>
        <w:lastRenderedPageBreak/>
        <w:t>CHAPTER III</w:t>
      </w:r>
    </w:p>
    <w:p w:rsidR="00DA4DD8" w:rsidRPr="001B296D" w:rsidRDefault="00DA4DD8" w:rsidP="00FD1AA2">
      <w:pPr>
        <w:spacing w:after="240" w:line="360" w:lineRule="auto"/>
        <w:jc w:val="center"/>
        <w:rPr>
          <w:rFonts w:ascii="Times New Roman" w:hAnsi="Times New Roman"/>
          <w:b/>
          <w:sz w:val="32"/>
          <w:szCs w:val="32"/>
        </w:rPr>
      </w:pPr>
      <w:r w:rsidRPr="001B296D">
        <w:rPr>
          <w:rFonts w:ascii="Times New Roman" w:hAnsi="Times New Roman"/>
          <w:b/>
          <w:sz w:val="32"/>
          <w:szCs w:val="32"/>
        </w:rPr>
        <w:t>RESEARCH METHODOLOGY</w:t>
      </w:r>
    </w:p>
    <w:p w:rsidR="00DA4DD8" w:rsidRPr="00FD1AA2" w:rsidRDefault="00DA4DD8" w:rsidP="00FD1AA2">
      <w:pPr>
        <w:spacing w:after="240" w:line="360" w:lineRule="auto"/>
        <w:jc w:val="both"/>
        <w:rPr>
          <w:rFonts w:ascii="Times New Roman" w:hAnsi="Times New Roman"/>
          <w:b/>
        </w:rPr>
      </w:pPr>
    </w:p>
    <w:p w:rsidR="00DA4DD8" w:rsidRPr="00705B89" w:rsidRDefault="00DA4DD8" w:rsidP="00FD1AA2">
      <w:pPr>
        <w:spacing w:after="240" w:line="360" w:lineRule="auto"/>
        <w:jc w:val="both"/>
        <w:rPr>
          <w:rFonts w:ascii="Times New Roman" w:hAnsi="Times New Roman"/>
          <w:b/>
          <w:sz w:val="28"/>
        </w:rPr>
      </w:pPr>
      <w:r w:rsidRPr="00705B89">
        <w:rPr>
          <w:rFonts w:ascii="Times New Roman" w:hAnsi="Times New Roman"/>
          <w:b/>
          <w:sz w:val="28"/>
        </w:rPr>
        <w:t>3.1</w:t>
      </w:r>
      <w:r w:rsidRPr="00705B89">
        <w:rPr>
          <w:rFonts w:ascii="Times New Roman" w:hAnsi="Times New Roman"/>
          <w:b/>
          <w:sz w:val="28"/>
        </w:rPr>
        <w:tab/>
        <w:t>Introduction</w:t>
      </w:r>
    </w:p>
    <w:p w:rsidR="00DA4DD8" w:rsidRPr="00FD1AA2" w:rsidRDefault="007D5764" w:rsidP="00FD1AA2">
      <w:pPr>
        <w:spacing w:after="240" w:line="360" w:lineRule="auto"/>
        <w:jc w:val="both"/>
        <w:rPr>
          <w:rFonts w:ascii="Times New Roman" w:hAnsi="Times New Roman"/>
        </w:rPr>
      </w:pPr>
      <w:r>
        <w:rPr>
          <w:rFonts w:ascii="Times New Roman" w:hAnsi="Times New Roman"/>
        </w:rPr>
        <w:t>Research is not find</w:t>
      </w:r>
      <w:r w:rsidRPr="00FD1AA2">
        <w:rPr>
          <w:rFonts w:ascii="Times New Roman" w:hAnsi="Times New Roman"/>
        </w:rPr>
        <w:t xml:space="preserve"> out</w:t>
      </w:r>
      <w:r w:rsidR="00DA4DD8" w:rsidRPr="00FD1AA2">
        <w:rPr>
          <w:rFonts w:ascii="Times New Roman" w:hAnsi="Times New Roman"/>
        </w:rPr>
        <w:t xml:space="preserve"> to gain knowledge about a phenomenon. Here, "re" means repeatedly or again and again, "search" says to investigate or to find. thus, combine researching repeatedly is called research, which includes searching new facts, knowledge principles and theories in scientific way. Likewise, research needs various methodologies, tools, techniques etc.</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Methodology is the research method used to test the hypothesis. Research methodology is a systematic way to solve the research problems. It describes the method and process applied in the entire aspects of the study. It refers to the various sequential steps (along with a rational of each step) to be adopted by a researcher in studying a problem with certain objectives in view.</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Thus the overall approach to the research is presented in this chapter. This chapter contains the research design, population and sample size, sample selection procedure, data collection procedure, data processing, use of tools and techniques etc.</w:t>
      </w:r>
    </w:p>
    <w:p w:rsidR="00DA4DD8" w:rsidRPr="00705B89" w:rsidRDefault="00DA4DD8" w:rsidP="00FD1AA2">
      <w:pPr>
        <w:spacing w:after="240" w:line="360" w:lineRule="auto"/>
        <w:jc w:val="both"/>
        <w:rPr>
          <w:rFonts w:ascii="Times New Roman" w:hAnsi="Times New Roman"/>
          <w:b/>
          <w:sz w:val="28"/>
        </w:rPr>
      </w:pPr>
      <w:r w:rsidRPr="00705B89">
        <w:rPr>
          <w:rFonts w:ascii="Times New Roman" w:hAnsi="Times New Roman"/>
          <w:b/>
          <w:sz w:val="28"/>
        </w:rPr>
        <w:t>3.2</w:t>
      </w:r>
      <w:r w:rsidRPr="00705B89">
        <w:rPr>
          <w:rFonts w:ascii="Times New Roman" w:hAnsi="Times New Roman"/>
          <w:b/>
          <w:sz w:val="28"/>
        </w:rPr>
        <w:tab/>
        <w:t>Research Design</w:t>
      </w:r>
    </w:p>
    <w:p w:rsidR="00DA4DD8" w:rsidRPr="00FD1AA2" w:rsidRDefault="00AB51C1" w:rsidP="00FD1AA2">
      <w:pPr>
        <w:spacing w:after="240" w:line="360" w:lineRule="auto"/>
        <w:jc w:val="both"/>
        <w:rPr>
          <w:rFonts w:ascii="Times New Roman" w:hAnsi="Times New Roman"/>
        </w:rPr>
      </w:pPr>
      <w:r>
        <w:rPr>
          <w:rFonts w:ascii="Times New Roman" w:hAnsi="Times New Roman"/>
          <w:noProof/>
          <w:lang w:bidi="ar-SA"/>
        </w:rPr>
        <w:pict>
          <v:shape id="_x0000_s1044" type="#_x0000_t202" style="position:absolute;left:0;text-align:left;margin-left:180pt;margin-top:182.2pt;width:81.95pt;height:42.2pt;z-index:251663360" stroked="f">
            <v:textbox>
              <w:txbxContent>
                <w:p w:rsidR="008C0E1D" w:rsidRDefault="008C0E1D"/>
              </w:txbxContent>
            </v:textbox>
          </v:shape>
        </w:pict>
      </w:r>
      <w:r w:rsidR="00DA4DD8" w:rsidRPr="00FD1AA2">
        <w:rPr>
          <w:rFonts w:ascii="Times New Roman" w:hAnsi="Times New Roman"/>
        </w:rPr>
        <w:t xml:space="preserve">Research design is the plan, structure and strategy of investigation conceived so as to obtain answers to research questions, and to control variance, the plan is the overall scheme or program of the research. The structure of the research is more specific. It is the outline, the scheme, the paradigm of the diagrams that outline the variables and their relation and juxtaposition we build structural schemes for accomplishing operational research purposes. Strategy as used here is also more specific than plan. In other words, strategy implies how the research objectives </w:t>
      </w:r>
      <w:r w:rsidR="00CE0144">
        <w:rPr>
          <w:rFonts w:ascii="Times New Roman" w:hAnsi="Times New Roman"/>
        </w:rPr>
        <w:t xml:space="preserve">was </w:t>
      </w:r>
      <w:r w:rsidR="00DA4DD8" w:rsidRPr="00FD1AA2">
        <w:rPr>
          <w:rFonts w:ascii="Times New Roman" w:hAnsi="Times New Roman"/>
        </w:rPr>
        <w:t xml:space="preserve">reaches and how the problem encountered in the research </w:t>
      </w:r>
      <w:r w:rsidR="00CE0144">
        <w:rPr>
          <w:rFonts w:ascii="Times New Roman" w:hAnsi="Times New Roman"/>
        </w:rPr>
        <w:t>should be</w:t>
      </w:r>
      <w:r w:rsidR="00DA4DD8" w:rsidRPr="00FD1AA2">
        <w:rPr>
          <w:rFonts w:ascii="Times New Roman" w:hAnsi="Times New Roman"/>
        </w:rPr>
        <w:t xml:space="preserve"> tackled.</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lastRenderedPageBreak/>
        <w:t>So, Research design is an overall plan or framework for the collection and analysis of data. It provides the framework "for the study" guidelines, "for the collection and analysis of data." This research study attempts to analyze the financial performance of Machhapuchare banks by using CAMEL rating analysis. Thus, to fulfill the objective of the study, both primary as well as secondary data are used. Furthermore,</w:t>
      </w:r>
      <w:r w:rsidR="00E76879">
        <w:rPr>
          <w:rFonts w:ascii="Times New Roman" w:hAnsi="Times New Roman"/>
        </w:rPr>
        <w:t xml:space="preserve"> within a case study</w:t>
      </w:r>
      <w:r w:rsidRPr="00FD1AA2">
        <w:rPr>
          <w:rFonts w:ascii="Times New Roman" w:hAnsi="Times New Roman"/>
        </w:rPr>
        <w:t xml:space="preserve"> descriptive as well as analytical and quantitative approaches are used to examine the financial performance of the Machhapuchhre banks.</w:t>
      </w:r>
    </w:p>
    <w:p w:rsidR="00DA4DD8" w:rsidRPr="00E81FE1" w:rsidRDefault="00DA4DD8" w:rsidP="00FD1AA2">
      <w:pPr>
        <w:spacing w:after="240" w:line="360" w:lineRule="auto"/>
        <w:jc w:val="both"/>
        <w:rPr>
          <w:rFonts w:ascii="Times New Roman" w:hAnsi="Times New Roman"/>
          <w:b/>
          <w:sz w:val="28"/>
        </w:rPr>
      </w:pPr>
      <w:r w:rsidRPr="00E81FE1">
        <w:rPr>
          <w:rFonts w:ascii="Times New Roman" w:hAnsi="Times New Roman"/>
          <w:b/>
          <w:sz w:val="28"/>
        </w:rPr>
        <w:t>3.3</w:t>
      </w:r>
      <w:r w:rsidRPr="00E81FE1">
        <w:rPr>
          <w:rFonts w:ascii="Times New Roman" w:hAnsi="Times New Roman"/>
          <w:b/>
          <w:sz w:val="28"/>
        </w:rPr>
        <w:tab/>
        <w:t>Population and Sample</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The population refers to the organizing of the same nature on its services and product in general and for this study all thirty</w:t>
      </w:r>
      <w:r w:rsidR="00FE52F2">
        <w:rPr>
          <w:rFonts w:ascii="Times New Roman" w:hAnsi="Times New Roman"/>
        </w:rPr>
        <w:t xml:space="preserve"> three</w:t>
      </w:r>
      <w:r w:rsidRPr="00FD1AA2">
        <w:rPr>
          <w:rFonts w:ascii="Times New Roman" w:hAnsi="Times New Roman"/>
        </w:rPr>
        <w:t xml:space="preserve"> commercial banks including three governments owned commercial banks operating in the Nepal are the total population. To fulfill objective of the study and being a case study of a single unit, MBL is selected as sample for this study. For the sampling purpose, convenience sampling method</w:t>
      </w:r>
      <w:r w:rsidR="00483F60">
        <w:rPr>
          <w:rFonts w:ascii="Times New Roman" w:hAnsi="Times New Roman"/>
        </w:rPr>
        <w:t xml:space="preserve"> is</w:t>
      </w:r>
      <w:r w:rsidRPr="00FD1AA2">
        <w:rPr>
          <w:rFonts w:ascii="Times New Roman" w:hAnsi="Times New Roman"/>
        </w:rPr>
        <w:t xml:space="preserve"> used.</w:t>
      </w:r>
    </w:p>
    <w:p w:rsidR="00DA4DD8" w:rsidRPr="003C37EA" w:rsidRDefault="00DA4DD8" w:rsidP="00FD1AA2">
      <w:pPr>
        <w:spacing w:after="240" w:line="360" w:lineRule="auto"/>
        <w:jc w:val="both"/>
        <w:rPr>
          <w:rFonts w:ascii="Times New Roman" w:hAnsi="Times New Roman"/>
          <w:b/>
          <w:sz w:val="28"/>
        </w:rPr>
      </w:pPr>
      <w:r w:rsidRPr="003C37EA">
        <w:rPr>
          <w:rFonts w:ascii="Times New Roman" w:hAnsi="Times New Roman"/>
          <w:b/>
          <w:sz w:val="28"/>
        </w:rPr>
        <w:t>3.4</w:t>
      </w:r>
      <w:r w:rsidRPr="003C37EA">
        <w:rPr>
          <w:rFonts w:ascii="Times New Roman" w:hAnsi="Times New Roman"/>
          <w:b/>
          <w:sz w:val="28"/>
        </w:rPr>
        <w:tab/>
        <w:t>Source of Data</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This research study is basically based on secondary data. The</w:t>
      </w:r>
      <w:r w:rsidR="003C37EA">
        <w:rPr>
          <w:rFonts w:ascii="Times New Roman" w:hAnsi="Times New Roman"/>
        </w:rPr>
        <w:t xml:space="preserve"> required data for the study is</w:t>
      </w:r>
      <w:r w:rsidRPr="00FD1AA2">
        <w:rPr>
          <w:rFonts w:ascii="Times New Roman" w:hAnsi="Times New Roman"/>
        </w:rPr>
        <w:t xml:space="preserve"> collected in following ways:</w:t>
      </w:r>
    </w:p>
    <w:p w:rsidR="00DA4DD8" w:rsidRPr="00FD1AA2" w:rsidRDefault="00DA4DD8" w:rsidP="00FD1AA2">
      <w:pPr>
        <w:pStyle w:val="ListParagraph"/>
        <w:numPr>
          <w:ilvl w:val="0"/>
          <w:numId w:val="28"/>
        </w:numPr>
        <w:spacing w:after="240" w:line="360" w:lineRule="auto"/>
        <w:jc w:val="both"/>
        <w:rPr>
          <w:rFonts w:ascii="Times New Roman" w:hAnsi="Times New Roman"/>
        </w:rPr>
      </w:pPr>
      <w:r w:rsidRPr="00FD1AA2">
        <w:rPr>
          <w:rFonts w:ascii="Times New Roman" w:hAnsi="Times New Roman"/>
        </w:rPr>
        <w:t>Library research study.</w:t>
      </w:r>
    </w:p>
    <w:p w:rsidR="00DA4DD8" w:rsidRPr="00FD1AA2" w:rsidRDefault="00DA4DD8" w:rsidP="00FD1AA2">
      <w:pPr>
        <w:pStyle w:val="ListParagraph"/>
        <w:numPr>
          <w:ilvl w:val="0"/>
          <w:numId w:val="28"/>
        </w:numPr>
        <w:spacing w:after="240" w:line="360" w:lineRule="auto"/>
        <w:jc w:val="both"/>
        <w:rPr>
          <w:rFonts w:ascii="Times New Roman" w:hAnsi="Times New Roman"/>
        </w:rPr>
      </w:pPr>
      <w:r w:rsidRPr="00FD1AA2">
        <w:rPr>
          <w:rFonts w:ascii="Times New Roman" w:hAnsi="Times New Roman"/>
        </w:rPr>
        <w:t>Internet, home pages and related links visit.</w:t>
      </w:r>
    </w:p>
    <w:p w:rsidR="00DA4DD8" w:rsidRPr="00FD1AA2" w:rsidRDefault="00DA4DD8" w:rsidP="00FD1AA2">
      <w:pPr>
        <w:pStyle w:val="ListParagraph"/>
        <w:numPr>
          <w:ilvl w:val="0"/>
          <w:numId w:val="28"/>
        </w:numPr>
        <w:spacing w:after="240" w:line="360" w:lineRule="auto"/>
        <w:jc w:val="both"/>
        <w:rPr>
          <w:rFonts w:ascii="Times New Roman" w:hAnsi="Times New Roman"/>
        </w:rPr>
      </w:pPr>
      <w:r w:rsidRPr="00FD1AA2">
        <w:rPr>
          <w:rFonts w:ascii="Times New Roman" w:hAnsi="Times New Roman"/>
        </w:rPr>
        <w:t>Directives of NRB.</w:t>
      </w:r>
    </w:p>
    <w:p w:rsidR="00DA4DD8" w:rsidRPr="00FD1AA2" w:rsidRDefault="00DA4DD8" w:rsidP="00FD1AA2">
      <w:pPr>
        <w:pStyle w:val="ListParagraph"/>
        <w:numPr>
          <w:ilvl w:val="0"/>
          <w:numId w:val="28"/>
        </w:numPr>
        <w:spacing w:after="240" w:line="360" w:lineRule="auto"/>
        <w:jc w:val="both"/>
        <w:rPr>
          <w:rFonts w:ascii="Times New Roman" w:hAnsi="Times New Roman"/>
        </w:rPr>
      </w:pPr>
      <w:r w:rsidRPr="00FD1AA2">
        <w:rPr>
          <w:rFonts w:ascii="Times New Roman" w:hAnsi="Times New Roman"/>
        </w:rPr>
        <w:t>Annual report of the Machhapuchhre Bank Limited.</w:t>
      </w:r>
    </w:p>
    <w:p w:rsidR="00DA4DD8" w:rsidRPr="00FD1AA2" w:rsidRDefault="00DA4DD8" w:rsidP="00FD1AA2">
      <w:pPr>
        <w:pStyle w:val="ListParagraph"/>
        <w:numPr>
          <w:ilvl w:val="0"/>
          <w:numId w:val="28"/>
        </w:numPr>
        <w:spacing w:after="240" w:line="360" w:lineRule="auto"/>
        <w:jc w:val="both"/>
        <w:rPr>
          <w:rFonts w:ascii="Times New Roman" w:hAnsi="Times New Roman"/>
        </w:rPr>
      </w:pPr>
      <w:r w:rsidRPr="00FD1AA2">
        <w:rPr>
          <w:rFonts w:ascii="Times New Roman" w:hAnsi="Times New Roman"/>
        </w:rPr>
        <w:t xml:space="preserve">The other sources </w:t>
      </w:r>
      <w:r w:rsidR="002647D8">
        <w:rPr>
          <w:rFonts w:ascii="Times New Roman" w:hAnsi="Times New Roman"/>
        </w:rPr>
        <w:t>was</w:t>
      </w:r>
      <w:r w:rsidRPr="00FD1AA2">
        <w:rPr>
          <w:rFonts w:ascii="Times New Roman" w:hAnsi="Times New Roman"/>
        </w:rPr>
        <w:t xml:space="preserve"> articles, previous study on related topic, published articles of different authors and Journals.</w:t>
      </w:r>
    </w:p>
    <w:p w:rsidR="00DA4DD8" w:rsidRPr="00632DDE" w:rsidRDefault="00DA4DD8" w:rsidP="00FD1AA2">
      <w:pPr>
        <w:spacing w:after="240" w:line="360" w:lineRule="auto"/>
        <w:jc w:val="both"/>
        <w:rPr>
          <w:rFonts w:ascii="Times New Roman" w:hAnsi="Times New Roman"/>
          <w:b/>
          <w:sz w:val="28"/>
        </w:rPr>
      </w:pPr>
      <w:r w:rsidRPr="00632DDE">
        <w:rPr>
          <w:rFonts w:ascii="Times New Roman" w:hAnsi="Times New Roman"/>
          <w:b/>
          <w:sz w:val="28"/>
        </w:rPr>
        <w:t>3.5</w:t>
      </w:r>
      <w:r w:rsidRPr="00632DDE">
        <w:rPr>
          <w:rFonts w:ascii="Times New Roman" w:hAnsi="Times New Roman"/>
          <w:b/>
          <w:sz w:val="28"/>
        </w:rPr>
        <w:tab/>
        <w:t>Data Collection Procedure</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 xml:space="preserve">Basically, the study is based on secondary data. The annual reports and other information of MBL covering different fiscal years and website of the bank, NRB directive, banking and financial statistics and other publication will be collected from, </w:t>
      </w:r>
      <w:r w:rsidRPr="00FD1AA2">
        <w:rPr>
          <w:rFonts w:ascii="Times New Roman" w:hAnsi="Times New Roman"/>
        </w:rPr>
        <w:lastRenderedPageBreak/>
        <w:t>literature reviews are collected from the Western Regional Library Pokhara and Central Library T.U.</w:t>
      </w:r>
    </w:p>
    <w:p w:rsidR="00DA4DD8" w:rsidRPr="00632DDE" w:rsidRDefault="00DA4DD8" w:rsidP="00FD1AA2">
      <w:pPr>
        <w:spacing w:after="240" w:line="360" w:lineRule="auto"/>
        <w:jc w:val="both"/>
        <w:rPr>
          <w:rFonts w:ascii="Times New Roman" w:hAnsi="Times New Roman"/>
          <w:b/>
          <w:sz w:val="28"/>
        </w:rPr>
      </w:pPr>
      <w:r w:rsidRPr="00632DDE">
        <w:rPr>
          <w:rFonts w:ascii="Times New Roman" w:hAnsi="Times New Roman"/>
          <w:b/>
          <w:sz w:val="28"/>
        </w:rPr>
        <w:t>3.6</w:t>
      </w:r>
      <w:r w:rsidRPr="00632DDE">
        <w:rPr>
          <w:rFonts w:ascii="Times New Roman" w:hAnsi="Times New Roman"/>
          <w:b/>
          <w:sz w:val="28"/>
        </w:rPr>
        <w:tab/>
        <w:t>Data Processing</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 xml:space="preserve">The collection of data </w:t>
      </w:r>
      <w:r w:rsidR="00B66632">
        <w:rPr>
          <w:rFonts w:ascii="Times New Roman" w:hAnsi="Times New Roman"/>
        </w:rPr>
        <w:t xml:space="preserve">has </w:t>
      </w:r>
      <w:r w:rsidRPr="00FD1AA2">
        <w:rPr>
          <w:rFonts w:ascii="Times New Roman" w:hAnsi="Times New Roman"/>
        </w:rPr>
        <w:t xml:space="preserve">processed manually as well as by using computer programmes like Ms Word, Ms Excel processed data </w:t>
      </w:r>
      <w:r w:rsidR="0041378B">
        <w:rPr>
          <w:rFonts w:ascii="Times New Roman" w:hAnsi="Times New Roman"/>
        </w:rPr>
        <w:t>has been</w:t>
      </w:r>
      <w:r w:rsidRPr="00FD1AA2">
        <w:rPr>
          <w:rFonts w:ascii="Times New Roman" w:hAnsi="Times New Roman"/>
        </w:rPr>
        <w:t xml:space="preserve"> shown in tabular and chart form.</w:t>
      </w:r>
    </w:p>
    <w:p w:rsidR="00DA4DD8" w:rsidRPr="00632DDE" w:rsidRDefault="00DA4DD8" w:rsidP="00FD1AA2">
      <w:pPr>
        <w:spacing w:after="240" w:line="360" w:lineRule="auto"/>
        <w:jc w:val="both"/>
        <w:rPr>
          <w:rFonts w:ascii="Times New Roman" w:hAnsi="Times New Roman"/>
          <w:b/>
          <w:sz w:val="28"/>
        </w:rPr>
      </w:pPr>
      <w:r w:rsidRPr="00632DDE">
        <w:rPr>
          <w:rFonts w:ascii="Times New Roman" w:hAnsi="Times New Roman"/>
          <w:b/>
          <w:sz w:val="28"/>
        </w:rPr>
        <w:t>3.7</w:t>
      </w:r>
      <w:r w:rsidRPr="00632DDE">
        <w:rPr>
          <w:rFonts w:ascii="Times New Roman" w:hAnsi="Times New Roman"/>
          <w:b/>
          <w:sz w:val="28"/>
        </w:rPr>
        <w:tab/>
        <w:t>Data Analysis Tools</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The data collected from different sources are recorded systematically as necessary. Only useful and related data are grouped as per need of the research work. Data are presented in appropriate forms of tables; graphs and charts for analysis of appropriate mathematical, financial as well as statistical tools are used. Some of them are:</w:t>
      </w:r>
    </w:p>
    <w:p w:rsidR="00DA4DD8" w:rsidRPr="00632DDE" w:rsidRDefault="00DA4DD8" w:rsidP="00FD1AA2">
      <w:pPr>
        <w:spacing w:after="240" w:line="360" w:lineRule="auto"/>
        <w:jc w:val="both"/>
        <w:rPr>
          <w:rFonts w:ascii="Times New Roman" w:hAnsi="Times New Roman"/>
          <w:b/>
          <w:sz w:val="28"/>
        </w:rPr>
      </w:pPr>
      <w:r w:rsidRPr="00632DDE">
        <w:rPr>
          <w:rFonts w:ascii="Times New Roman" w:hAnsi="Times New Roman"/>
          <w:b/>
          <w:sz w:val="28"/>
        </w:rPr>
        <w:t>3.7.1</w:t>
      </w:r>
      <w:r w:rsidRPr="00632DDE">
        <w:rPr>
          <w:rFonts w:ascii="Times New Roman" w:hAnsi="Times New Roman"/>
          <w:b/>
          <w:sz w:val="28"/>
        </w:rPr>
        <w:tab/>
        <w:t>Financial Tools</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The financial analysis tools are used to determine the financial performance of the banks in the framework of CAMEL components. These ratios are categorized in accordance of the CAMEL components. Following categories of key ratio are used to analyze the relevant components in term of CAMEL. Analysis of data ratio analysis is the best tool. It is very simple analyzing tools under which ratios are taken to express the relation between two or more data. Through ratio analysis we can establish the relationship among the data and research into conclusion. Under ratio analysis following ratio related to bank are analyzed.</w:t>
      </w:r>
    </w:p>
    <w:p w:rsidR="00DA4DD8" w:rsidRPr="00632DDE" w:rsidRDefault="00632DDE" w:rsidP="00FD1AA2">
      <w:pPr>
        <w:spacing w:after="240" w:line="360" w:lineRule="auto"/>
        <w:ind w:left="-270" w:firstLine="270"/>
        <w:jc w:val="both"/>
        <w:rPr>
          <w:rFonts w:ascii="Times New Roman" w:hAnsi="Times New Roman"/>
          <w:b/>
          <w:sz w:val="28"/>
        </w:rPr>
      </w:pPr>
      <w:r>
        <w:rPr>
          <w:rFonts w:ascii="Times New Roman" w:hAnsi="Times New Roman"/>
          <w:b/>
          <w:sz w:val="28"/>
        </w:rPr>
        <w:t xml:space="preserve">3.7.1.1 </w:t>
      </w:r>
      <w:r w:rsidR="00DA4DD8" w:rsidRPr="00632DDE">
        <w:rPr>
          <w:rFonts w:ascii="Times New Roman" w:hAnsi="Times New Roman"/>
          <w:b/>
          <w:sz w:val="28"/>
        </w:rPr>
        <w:t>Capital Adequacy</w:t>
      </w:r>
    </w:p>
    <w:p w:rsidR="00DA4DD8" w:rsidRPr="00FD1AA2" w:rsidRDefault="00DA4DD8" w:rsidP="00FD1AA2">
      <w:pPr>
        <w:spacing w:after="240" w:line="360" w:lineRule="auto"/>
        <w:ind w:left="720" w:hanging="720"/>
        <w:jc w:val="both"/>
        <w:rPr>
          <w:rFonts w:ascii="Times New Roman" w:hAnsi="Times New Roman"/>
        </w:rPr>
      </w:pPr>
      <w:r w:rsidRPr="00FD1AA2">
        <w:rPr>
          <w:rFonts w:ascii="Times New Roman" w:hAnsi="Times New Roman"/>
        </w:rPr>
        <w:t>A)</w:t>
      </w:r>
      <w:r w:rsidRPr="00FD1AA2">
        <w:rPr>
          <w:rFonts w:ascii="Times New Roman" w:hAnsi="Times New Roman"/>
        </w:rPr>
        <w:tab/>
        <w:t>Core Capital Adequacy ratio: Core capital adequacy ratio shows the relationship between the total core capital and or internal sources and total risk adjusted assets.</w:t>
      </w:r>
    </w:p>
    <w:p w:rsidR="00DA4DD8" w:rsidRPr="00FD1AA2" w:rsidRDefault="00DA4DD8" w:rsidP="00FD1AA2">
      <w:pPr>
        <w:spacing w:after="240" w:line="360" w:lineRule="auto"/>
        <w:ind w:left="720" w:hanging="720"/>
        <w:jc w:val="both"/>
        <w:rPr>
          <w:rFonts w:ascii="Times New Roman" w:hAnsi="Times New Roman"/>
        </w:rPr>
      </w:pPr>
      <w:r w:rsidRPr="00FD1AA2">
        <w:rPr>
          <w:rFonts w:ascii="Times New Roman" w:hAnsi="Times New Roman"/>
        </w:rPr>
        <w:tab/>
        <w:t>It is used to measure the adequacy of core capital and financial soundness from very close angle. It is calculated by using following model.</w:t>
      </w:r>
    </w:p>
    <w:p w:rsidR="00DA4DD8" w:rsidRPr="00FD1AA2" w:rsidRDefault="00DA4DD8" w:rsidP="00FD1AA2">
      <w:pPr>
        <w:spacing w:after="240" w:line="360" w:lineRule="auto"/>
        <w:jc w:val="both"/>
        <w:rPr>
          <w:rFonts w:ascii="Times New Roman" w:hAnsi="Times New Roman"/>
          <w:sz w:val="30"/>
          <w:szCs w:val="30"/>
        </w:rPr>
      </w:pPr>
      <w:r w:rsidRPr="00FD1AA2">
        <w:rPr>
          <w:rFonts w:ascii="Times New Roman" w:hAnsi="Times New Roman"/>
        </w:rPr>
        <w:lastRenderedPageBreak/>
        <w:tab/>
        <w:t>Core Capital Adequacy Ratio (CCAR) =</w:t>
      </w:r>
      <m:oMath>
        <m:f>
          <m:fPr>
            <m:ctrlPr>
              <w:rPr>
                <w:rFonts w:ascii="Cambria Math" w:hAnsi="Cambria Math"/>
                <w:sz w:val="30"/>
                <w:szCs w:val="30"/>
              </w:rPr>
            </m:ctrlPr>
          </m:fPr>
          <m:num>
            <m:r>
              <m:rPr>
                <m:sty m:val="p"/>
              </m:rPr>
              <w:rPr>
                <w:rFonts w:ascii="Cambria Math"/>
                <w:sz w:val="30"/>
                <w:szCs w:val="30"/>
              </w:rPr>
              <m:t>Core Capital</m:t>
            </m:r>
          </m:num>
          <m:den>
            <m:r>
              <m:rPr>
                <m:sty m:val="p"/>
              </m:rPr>
              <w:rPr>
                <w:rFonts w:ascii="Cambria Math"/>
                <w:sz w:val="30"/>
                <w:szCs w:val="30"/>
              </w:rPr>
              <m:t>Total risk Adjusted assets</m:t>
            </m:r>
          </m:den>
        </m:f>
      </m:oMath>
      <w:r w:rsidRPr="00FD1AA2">
        <w:rPr>
          <w:rFonts w:ascii="Times New Roman" w:hAnsi="Times New Roman"/>
          <w:sz w:val="28"/>
          <w:szCs w:val="30"/>
        </w:rPr>
        <w:t>×100</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 xml:space="preserve">Where, </w:t>
      </w:r>
    </w:p>
    <w:p w:rsidR="00DA4DD8" w:rsidRPr="00FD1AA2" w:rsidRDefault="00DA4DD8" w:rsidP="00FD1AA2">
      <w:pPr>
        <w:spacing w:after="240" w:line="360" w:lineRule="auto"/>
        <w:ind w:left="720" w:hanging="720"/>
        <w:jc w:val="both"/>
        <w:rPr>
          <w:rFonts w:ascii="Times New Roman" w:hAnsi="Times New Roman"/>
        </w:rPr>
      </w:pPr>
      <w:r w:rsidRPr="00FD1AA2">
        <w:rPr>
          <w:rFonts w:ascii="Times New Roman" w:hAnsi="Times New Roman"/>
        </w:rPr>
        <w:tab/>
        <w:t>Core Capital =Paid up capital + Share premium + non-redeemable preference share + general reserve + cumulative profit-goodwill if any</w:t>
      </w:r>
    </w:p>
    <w:p w:rsidR="00DA4DD8" w:rsidRPr="00FD1AA2" w:rsidRDefault="00DA4DD8" w:rsidP="00FD1AA2">
      <w:pPr>
        <w:spacing w:after="240" w:line="360" w:lineRule="auto"/>
        <w:ind w:left="720" w:hanging="720"/>
        <w:jc w:val="both"/>
        <w:rPr>
          <w:rFonts w:ascii="Times New Roman" w:hAnsi="Times New Roman"/>
        </w:rPr>
      </w:pPr>
      <w:r w:rsidRPr="00FD1AA2">
        <w:rPr>
          <w:rFonts w:ascii="Times New Roman" w:hAnsi="Times New Roman"/>
        </w:rPr>
        <w:t>B)</w:t>
      </w:r>
      <w:r w:rsidRPr="00FD1AA2">
        <w:rPr>
          <w:rFonts w:ascii="Times New Roman" w:hAnsi="Times New Roman"/>
        </w:rPr>
        <w:tab/>
        <w:t>Supplementary capital adequacy ratio is the expression of numerical relationship between supplementary capital and total risk adjusted assets. Furthermore, it shows the absolute contribution of supplementary capital in capital adequacy. The ratio is used to analyze the supplementary capital adequacy and determined by using the following model.</w:t>
      </w:r>
    </w:p>
    <w:p w:rsidR="00DA4DD8" w:rsidRPr="00FD1AA2" w:rsidRDefault="00DA4DD8" w:rsidP="00FD1AA2">
      <w:pPr>
        <w:spacing w:after="240" w:line="360" w:lineRule="auto"/>
        <w:ind w:left="-270" w:firstLine="270"/>
        <w:jc w:val="both"/>
        <w:rPr>
          <w:rFonts w:ascii="Times New Roman" w:hAnsi="Times New Roman"/>
        </w:rPr>
      </w:pPr>
      <w:r w:rsidRPr="00FD1AA2">
        <w:rPr>
          <w:rFonts w:ascii="Times New Roman" w:hAnsi="Times New Roman"/>
        </w:rPr>
        <w:t xml:space="preserve"> Supplementary Capital Adequacy Ratio (SCAR) =</w:t>
      </w:r>
      <m:oMath>
        <m:f>
          <m:fPr>
            <m:ctrlPr>
              <w:rPr>
                <w:rFonts w:ascii="Cambria Math" w:hAnsi="Cambria Math"/>
                <w:sz w:val="30"/>
                <w:szCs w:val="30"/>
              </w:rPr>
            </m:ctrlPr>
          </m:fPr>
          <m:num>
            <m:r>
              <m:rPr>
                <m:sty m:val="p"/>
              </m:rPr>
              <w:rPr>
                <w:rFonts w:ascii="Cambria Math" w:hAnsi="Cambria Math"/>
                <w:sz w:val="30"/>
                <w:szCs w:val="30"/>
              </w:rPr>
              <m:t>Supplementary</m:t>
            </m:r>
            <m:r>
              <m:rPr>
                <m:sty m:val="p"/>
              </m:rPr>
              <w:rPr>
                <w:rFonts w:ascii="Cambria Math"/>
                <w:sz w:val="30"/>
                <w:szCs w:val="30"/>
              </w:rPr>
              <m:t xml:space="preserve"> </m:t>
            </m:r>
            <m:r>
              <m:rPr>
                <m:sty m:val="p"/>
              </m:rPr>
              <w:rPr>
                <w:rFonts w:ascii="Cambria Math" w:hAnsi="Cambria Math"/>
                <w:sz w:val="30"/>
                <w:szCs w:val="30"/>
              </w:rPr>
              <m:t>Capital</m:t>
            </m:r>
          </m:num>
          <m:den>
            <m:r>
              <m:rPr>
                <m:sty m:val="p"/>
              </m:rPr>
              <w:rPr>
                <w:rFonts w:ascii="Cambria Math" w:hAnsi="Cambria Math"/>
                <w:sz w:val="30"/>
                <w:szCs w:val="30"/>
              </w:rPr>
              <m:t>Total</m:t>
            </m:r>
            <m:r>
              <m:rPr>
                <m:sty m:val="p"/>
              </m:rPr>
              <w:rPr>
                <w:rFonts w:ascii="Cambria Math"/>
                <w:sz w:val="30"/>
                <w:szCs w:val="30"/>
              </w:rPr>
              <m:t xml:space="preserve"> </m:t>
            </m:r>
            <m:r>
              <m:rPr>
                <m:sty m:val="p"/>
              </m:rPr>
              <w:rPr>
                <w:rFonts w:ascii="Cambria Math" w:hAnsi="Cambria Math"/>
                <w:sz w:val="30"/>
                <w:szCs w:val="30"/>
              </w:rPr>
              <m:t>Risk</m:t>
            </m:r>
            <m:r>
              <m:rPr>
                <m:sty m:val="p"/>
              </m:rPr>
              <w:rPr>
                <w:rFonts w:ascii="Cambria Math"/>
                <w:sz w:val="30"/>
                <w:szCs w:val="30"/>
              </w:rPr>
              <m:t xml:space="preserve"> </m:t>
            </m:r>
            <m:r>
              <m:rPr>
                <m:sty m:val="p"/>
              </m:rPr>
              <w:rPr>
                <w:rFonts w:ascii="Cambria Math" w:hAnsi="Cambria Math"/>
                <w:sz w:val="30"/>
                <w:szCs w:val="30"/>
              </w:rPr>
              <m:t>Adjusted</m:t>
            </m:r>
            <m:r>
              <m:rPr>
                <m:sty m:val="p"/>
              </m:rPr>
              <w:rPr>
                <w:rFonts w:ascii="Cambria Math"/>
                <w:sz w:val="30"/>
                <w:szCs w:val="30"/>
              </w:rPr>
              <m:t xml:space="preserve"> </m:t>
            </m:r>
            <m:r>
              <m:rPr>
                <m:sty m:val="p"/>
              </m:rPr>
              <w:rPr>
                <w:rFonts w:ascii="Cambria Math" w:hAnsi="Cambria Math"/>
                <w:sz w:val="30"/>
                <w:szCs w:val="30"/>
              </w:rPr>
              <m:t>Assets</m:t>
            </m:r>
          </m:den>
        </m:f>
      </m:oMath>
      <w:r w:rsidRPr="00FD1AA2">
        <w:rPr>
          <w:rFonts w:ascii="Times New Roman" w:hAnsi="Times New Roman"/>
          <w:sz w:val="30"/>
          <w:szCs w:val="30"/>
        </w:rPr>
        <w:t xml:space="preserve"> </w:t>
      </w:r>
      <w:r w:rsidRPr="00FD1AA2">
        <w:rPr>
          <w:rFonts w:ascii="Times New Roman" w:hAnsi="Times New Roman"/>
        </w:rPr>
        <w:t>×100</w:t>
      </w:r>
    </w:p>
    <w:p w:rsidR="00DA4DD8" w:rsidRPr="00FD1AA2" w:rsidRDefault="00DA4DD8" w:rsidP="00FD1AA2">
      <w:pPr>
        <w:spacing w:after="240" w:line="360" w:lineRule="auto"/>
        <w:ind w:left="-270" w:firstLine="270"/>
        <w:jc w:val="both"/>
        <w:rPr>
          <w:rFonts w:ascii="Times New Roman" w:hAnsi="Times New Roman"/>
        </w:rPr>
      </w:pPr>
      <w:r w:rsidRPr="00FD1AA2">
        <w:rPr>
          <w:rFonts w:ascii="Times New Roman" w:hAnsi="Times New Roman"/>
        </w:rPr>
        <w:t>Where,</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Supplementary Capital = Loan loss provision + exchange equalization reserve + assets revaluation reserve + hybrid capital instrument + unsecured subordinate term debt + interest rate fluctuation fund + other free services.</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C)</w:t>
      </w:r>
      <w:r w:rsidRPr="00FD1AA2">
        <w:rPr>
          <w:rFonts w:ascii="Times New Roman" w:hAnsi="Times New Roman"/>
        </w:rPr>
        <w:tab/>
        <w:t>Total Capital Adequacy Ration</w:t>
      </w:r>
    </w:p>
    <w:p w:rsidR="00DA4DD8" w:rsidRPr="00FD1AA2" w:rsidRDefault="00DA4DD8" w:rsidP="00FD1AA2">
      <w:pPr>
        <w:spacing w:after="240" w:line="360" w:lineRule="auto"/>
        <w:ind w:left="720" w:hanging="720"/>
        <w:jc w:val="both"/>
        <w:rPr>
          <w:rFonts w:ascii="Times New Roman" w:hAnsi="Times New Roman"/>
        </w:rPr>
      </w:pPr>
      <w:r w:rsidRPr="00FD1AA2">
        <w:rPr>
          <w:rFonts w:ascii="Times New Roman" w:hAnsi="Times New Roman"/>
        </w:rPr>
        <w:tab/>
        <w:t>adequacy ratio is a measure of the amount to bank capitals as a percentage of its risk weighted credit exposure. Nepal Rastra Bank (NRB) which recommends minimum CAR of 11% and 5.5% of Core Capital Ratio (CCR).</w:t>
      </w:r>
    </w:p>
    <w:p w:rsidR="00DA4DD8" w:rsidRPr="00FD1AA2" w:rsidRDefault="00DA4DD8" w:rsidP="00FD1AA2">
      <w:pPr>
        <w:spacing w:after="240" w:line="360" w:lineRule="auto"/>
        <w:ind w:left="-270" w:firstLine="270"/>
        <w:jc w:val="both"/>
        <w:rPr>
          <w:rFonts w:ascii="Times New Roman" w:hAnsi="Times New Roman"/>
        </w:rPr>
      </w:pPr>
      <w:r w:rsidRPr="00FD1AA2">
        <w:rPr>
          <w:rFonts w:ascii="Times New Roman" w:hAnsi="Times New Roman"/>
        </w:rPr>
        <w:tab/>
        <w:t>Capital Adequacy Ratio (CAR) =</w:t>
      </w:r>
      <m:oMath>
        <m:f>
          <m:fPr>
            <m:ctrlPr>
              <w:rPr>
                <w:rFonts w:ascii="Cambria Math" w:hAnsi="Cambria Math"/>
                <w:sz w:val="30"/>
                <w:szCs w:val="30"/>
              </w:rPr>
            </m:ctrlPr>
          </m:fPr>
          <m:num>
            <m:r>
              <m:rPr>
                <m:sty m:val="p"/>
              </m:rPr>
              <w:rPr>
                <w:rFonts w:ascii="Cambria Math" w:hAnsi="Cambria Math"/>
                <w:sz w:val="30"/>
                <w:szCs w:val="30"/>
              </w:rPr>
              <m:t>Total</m:t>
            </m:r>
            <m:r>
              <m:rPr>
                <m:sty m:val="p"/>
              </m:rPr>
              <w:rPr>
                <w:rFonts w:ascii="Cambria Math"/>
                <w:sz w:val="30"/>
                <w:szCs w:val="30"/>
              </w:rPr>
              <m:t xml:space="preserve"> </m:t>
            </m:r>
            <m:r>
              <m:rPr>
                <m:sty m:val="p"/>
              </m:rPr>
              <w:rPr>
                <w:rFonts w:ascii="Cambria Math" w:hAnsi="Cambria Math"/>
                <w:sz w:val="30"/>
                <w:szCs w:val="30"/>
              </w:rPr>
              <m:t>Capital</m:t>
            </m:r>
            <m:r>
              <m:rPr>
                <m:sty m:val="p"/>
              </m:rPr>
              <w:rPr>
                <w:rFonts w:ascii="Cambria Math"/>
                <w:sz w:val="30"/>
                <w:szCs w:val="30"/>
              </w:rPr>
              <m:t xml:space="preserve"> F</m:t>
            </m:r>
            <m:r>
              <m:rPr>
                <m:sty m:val="p"/>
              </m:rPr>
              <w:rPr>
                <w:rFonts w:ascii="Cambria Math" w:hAnsi="Cambria Math"/>
                <w:sz w:val="30"/>
                <w:szCs w:val="30"/>
              </w:rPr>
              <m:t>und</m:t>
            </m:r>
          </m:num>
          <m:den>
            <m:r>
              <m:rPr>
                <m:sty m:val="p"/>
              </m:rPr>
              <w:rPr>
                <w:rFonts w:ascii="Cambria Math" w:hAnsi="Cambria Math"/>
                <w:sz w:val="30"/>
                <w:szCs w:val="30"/>
              </w:rPr>
              <m:t>Total</m:t>
            </m:r>
            <m:r>
              <m:rPr>
                <m:sty m:val="p"/>
              </m:rPr>
              <w:rPr>
                <w:rFonts w:ascii="Cambria Math"/>
                <w:sz w:val="30"/>
                <w:szCs w:val="30"/>
              </w:rPr>
              <m:t xml:space="preserve"> </m:t>
            </m:r>
            <m:r>
              <m:rPr>
                <m:sty m:val="p"/>
              </m:rPr>
              <w:rPr>
                <w:rFonts w:ascii="Cambria Math" w:hAnsi="Cambria Math"/>
                <w:sz w:val="30"/>
                <w:szCs w:val="30"/>
              </w:rPr>
              <m:t>Risk</m:t>
            </m:r>
            <m:r>
              <m:rPr>
                <m:sty m:val="p"/>
              </m:rPr>
              <w:rPr>
                <w:rFonts w:ascii="Cambria Math"/>
                <w:sz w:val="30"/>
                <w:szCs w:val="30"/>
              </w:rPr>
              <m:t xml:space="preserve"> </m:t>
            </m:r>
            <m:r>
              <m:rPr>
                <m:sty m:val="p"/>
              </m:rPr>
              <w:rPr>
                <w:rFonts w:ascii="Cambria Math" w:hAnsi="Cambria Math"/>
                <w:sz w:val="30"/>
                <w:szCs w:val="30"/>
              </w:rPr>
              <m:t>Adjusted</m:t>
            </m:r>
            <m:r>
              <m:rPr>
                <m:sty m:val="p"/>
              </m:rPr>
              <w:rPr>
                <w:rFonts w:ascii="Cambria Math"/>
                <w:sz w:val="30"/>
                <w:szCs w:val="30"/>
              </w:rPr>
              <m:t xml:space="preserve"> </m:t>
            </m:r>
            <m:r>
              <m:rPr>
                <m:sty m:val="p"/>
              </m:rPr>
              <w:rPr>
                <w:rFonts w:ascii="Cambria Math" w:hAnsi="Cambria Math"/>
                <w:sz w:val="30"/>
                <w:szCs w:val="30"/>
              </w:rPr>
              <m:t>Assets</m:t>
            </m:r>
          </m:den>
        </m:f>
      </m:oMath>
      <w:r w:rsidRPr="00FD1AA2">
        <w:rPr>
          <w:rFonts w:ascii="Times New Roman" w:hAnsi="Times New Roman"/>
        </w:rPr>
        <w:t xml:space="preserve"> ×100</w:t>
      </w:r>
    </w:p>
    <w:p w:rsidR="00DA4DD8" w:rsidRPr="00FD1AA2" w:rsidRDefault="00DA4DD8" w:rsidP="00FD1AA2">
      <w:pPr>
        <w:spacing w:after="240" w:line="360" w:lineRule="auto"/>
        <w:ind w:left="-270" w:firstLine="270"/>
        <w:jc w:val="both"/>
        <w:rPr>
          <w:rFonts w:ascii="Times New Roman" w:hAnsi="Times New Roman"/>
        </w:rPr>
      </w:pPr>
      <w:r w:rsidRPr="00FD1AA2">
        <w:rPr>
          <w:rFonts w:ascii="Times New Roman" w:hAnsi="Times New Roman"/>
        </w:rPr>
        <w:tab/>
        <w:t>(Minimum requirement as per NRB Directives is 11%)</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Where,</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Total Capital Fund = Core Capital +Supplementary Capital</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lastRenderedPageBreak/>
        <w:t>Total Risk Adjusted Assets = On – Balance sheet risk adjusted assets + off –Balance Sheet Risk adjusted Assets.</w:t>
      </w:r>
    </w:p>
    <w:p w:rsidR="00DA4DD8" w:rsidRPr="00632DDE" w:rsidRDefault="00632DDE" w:rsidP="00FD1AA2">
      <w:pPr>
        <w:spacing w:after="240" w:line="360" w:lineRule="auto"/>
        <w:ind w:left="-270" w:firstLine="270"/>
        <w:jc w:val="both"/>
        <w:rPr>
          <w:rFonts w:ascii="Times New Roman" w:hAnsi="Times New Roman"/>
          <w:b/>
          <w:sz w:val="28"/>
        </w:rPr>
      </w:pPr>
      <w:r>
        <w:rPr>
          <w:rFonts w:ascii="Times New Roman" w:hAnsi="Times New Roman"/>
          <w:b/>
          <w:sz w:val="28"/>
        </w:rPr>
        <w:t xml:space="preserve">3.7.1.2 </w:t>
      </w:r>
      <w:r w:rsidR="00DA4DD8" w:rsidRPr="00632DDE">
        <w:rPr>
          <w:rFonts w:ascii="Times New Roman" w:hAnsi="Times New Roman"/>
          <w:b/>
          <w:sz w:val="28"/>
        </w:rPr>
        <w:t>Assets Quality</w:t>
      </w:r>
      <w:r w:rsidR="00DA4DD8" w:rsidRPr="00632DDE">
        <w:rPr>
          <w:rFonts w:ascii="Times New Roman" w:hAnsi="Times New Roman"/>
          <w:b/>
          <w:sz w:val="28"/>
        </w:rPr>
        <w:tab/>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Commercial Banks collect fund in the form of capital, deposit etc. It mobilizes these funds to generate certain returns by giving loans to the users of money to invest in various alternatives. A significant part of the banks income is through its lending activities. There are basically two types of loans and advances</w:t>
      </w:r>
    </w:p>
    <w:p w:rsidR="00DA4DD8" w:rsidRPr="00FD1AA2" w:rsidRDefault="00F21BC5" w:rsidP="00FD1AA2">
      <w:pPr>
        <w:pStyle w:val="ListParagraph"/>
        <w:numPr>
          <w:ilvl w:val="0"/>
          <w:numId w:val="29"/>
        </w:numPr>
        <w:spacing w:after="240" w:line="360" w:lineRule="auto"/>
        <w:jc w:val="both"/>
        <w:rPr>
          <w:rFonts w:ascii="Times New Roman" w:hAnsi="Times New Roman"/>
          <w:b/>
        </w:rPr>
      </w:pPr>
      <w:r>
        <w:rPr>
          <w:rFonts w:ascii="Times New Roman" w:hAnsi="Times New Roman"/>
          <w:b/>
        </w:rPr>
        <w:t>Performing L</w:t>
      </w:r>
      <w:r w:rsidR="00DA4DD8" w:rsidRPr="00FD1AA2">
        <w:rPr>
          <w:rFonts w:ascii="Times New Roman" w:hAnsi="Times New Roman"/>
          <w:b/>
        </w:rPr>
        <w:t>oan</w:t>
      </w:r>
    </w:p>
    <w:p w:rsidR="00DA4DD8" w:rsidRPr="00FD1AA2" w:rsidRDefault="00DA4DD8" w:rsidP="00FD1AA2">
      <w:pPr>
        <w:pStyle w:val="ListParagraph"/>
        <w:spacing w:after="240" w:line="360" w:lineRule="auto"/>
        <w:ind w:left="450"/>
        <w:jc w:val="both"/>
        <w:rPr>
          <w:rFonts w:ascii="Times New Roman" w:hAnsi="Times New Roman"/>
        </w:rPr>
      </w:pPr>
      <w:r w:rsidRPr="00FD1AA2">
        <w:rPr>
          <w:rFonts w:ascii="Times New Roman" w:hAnsi="Times New Roman"/>
        </w:rPr>
        <w:t>Loans on which payments of interest and principal are less than 90 days past due called performing loan.</w:t>
      </w:r>
    </w:p>
    <w:p w:rsidR="00DA4DD8" w:rsidRPr="00FD1AA2" w:rsidRDefault="00F21BC5" w:rsidP="00FD1AA2">
      <w:pPr>
        <w:pStyle w:val="ListParagraph"/>
        <w:numPr>
          <w:ilvl w:val="0"/>
          <w:numId w:val="29"/>
        </w:numPr>
        <w:spacing w:after="240" w:line="360" w:lineRule="auto"/>
        <w:jc w:val="both"/>
        <w:rPr>
          <w:rFonts w:ascii="Times New Roman" w:hAnsi="Times New Roman"/>
          <w:b/>
        </w:rPr>
      </w:pPr>
      <w:r>
        <w:rPr>
          <w:rFonts w:ascii="Times New Roman" w:hAnsi="Times New Roman"/>
          <w:b/>
        </w:rPr>
        <w:t>Non-Performing L</w:t>
      </w:r>
      <w:r w:rsidR="00DA4DD8" w:rsidRPr="00FD1AA2">
        <w:rPr>
          <w:rFonts w:ascii="Times New Roman" w:hAnsi="Times New Roman"/>
          <w:b/>
        </w:rPr>
        <w:t>oan</w:t>
      </w:r>
    </w:p>
    <w:p w:rsidR="00DA4DD8" w:rsidRPr="00FD1AA2" w:rsidRDefault="00DA4DD8" w:rsidP="00FD1AA2">
      <w:pPr>
        <w:pStyle w:val="ListParagraph"/>
        <w:spacing w:after="240" w:line="360" w:lineRule="auto"/>
        <w:ind w:left="450"/>
        <w:jc w:val="both"/>
        <w:rPr>
          <w:rFonts w:ascii="Times New Roman" w:hAnsi="Times New Roman"/>
        </w:rPr>
      </w:pPr>
      <w:r w:rsidRPr="00FD1AA2">
        <w:rPr>
          <w:rFonts w:ascii="Times New Roman" w:hAnsi="Times New Roman"/>
        </w:rPr>
        <w:t>A loan is non-performing when payments of interest and principal are past due by 90 days or more, or at least 90 days of interest payments have been capitalized, refinanced or delayed by agreement, or payments are less than 90 days overdue, but there are other good reasons to doubt that payments will be made in full.</w:t>
      </w:r>
    </w:p>
    <w:p w:rsidR="00DA4DD8" w:rsidRPr="00FD1AA2" w:rsidRDefault="00DA4DD8" w:rsidP="00FD1AA2">
      <w:pPr>
        <w:pStyle w:val="ListParagraph"/>
        <w:numPr>
          <w:ilvl w:val="0"/>
          <w:numId w:val="30"/>
        </w:numPr>
        <w:spacing w:after="240" w:line="360" w:lineRule="auto"/>
        <w:jc w:val="both"/>
        <w:rPr>
          <w:rFonts w:ascii="Times New Roman" w:hAnsi="Times New Roman"/>
          <w:b/>
        </w:rPr>
      </w:pPr>
      <w:r w:rsidRPr="00FD1AA2">
        <w:rPr>
          <w:rFonts w:ascii="Times New Roman" w:hAnsi="Times New Roman"/>
          <w:b/>
        </w:rPr>
        <w:t xml:space="preserve">Sub </w:t>
      </w:r>
      <w:r w:rsidR="00F21BC5">
        <w:rPr>
          <w:rFonts w:ascii="Times New Roman" w:hAnsi="Times New Roman"/>
          <w:b/>
        </w:rPr>
        <w:t>Standard L</w:t>
      </w:r>
      <w:r w:rsidRPr="00FD1AA2">
        <w:rPr>
          <w:rFonts w:ascii="Times New Roman" w:hAnsi="Times New Roman"/>
          <w:b/>
        </w:rPr>
        <w:t>oan</w:t>
      </w:r>
    </w:p>
    <w:p w:rsidR="00DA4DD8" w:rsidRPr="00FD1AA2" w:rsidRDefault="00DA4DD8" w:rsidP="00FD1AA2">
      <w:pPr>
        <w:pStyle w:val="ListParagraph"/>
        <w:spacing w:after="240" w:line="360" w:lineRule="auto"/>
        <w:ind w:left="1170"/>
        <w:jc w:val="both"/>
        <w:rPr>
          <w:rFonts w:ascii="Times New Roman" w:hAnsi="Times New Roman"/>
        </w:rPr>
      </w:pPr>
      <w:r w:rsidRPr="00FD1AA2">
        <w:rPr>
          <w:rFonts w:ascii="Times New Roman" w:hAnsi="Times New Roman"/>
        </w:rPr>
        <w:t>All loans and advances that are past due for a period of 3 months to 6 months shall be included in this category. Those are classified as nonperforming loan.</w:t>
      </w:r>
    </w:p>
    <w:p w:rsidR="00DA4DD8" w:rsidRPr="00FD1AA2" w:rsidRDefault="00F21BC5" w:rsidP="00FD1AA2">
      <w:pPr>
        <w:pStyle w:val="ListParagraph"/>
        <w:numPr>
          <w:ilvl w:val="0"/>
          <w:numId w:val="30"/>
        </w:numPr>
        <w:spacing w:after="240" w:line="360" w:lineRule="auto"/>
        <w:jc w:val="both"/>
        <w:rPr>
          <w:rFonts w:ascii="Times New Roman" w:hAnsi="Times New Roman"/>
          <w:b/>
        </w:rPr>
      </w:pPr>
      <w:r>
        <w:rPr>
          <w:rFonts w:ascii="Times New Roman" w:hAnsi="Times New Roman"/>
          <w:b/>
        </w:rPr>
        <w:t>Doubtful L</w:t>
      </w:r>
      <w:r w:rsidR="00DA4DD8" w:rsidRPr="00FD1AA2">
        <w:rPr>
          <w:rFonts w:ascii="Times New Roman" w:hAnsi="Times New Roman"/>
          <w:b/>
        </w:rPr>
        <w:t>oan</w:t>
      </w:r>
    </w:p>
    <w:p w:rsidR="00DA4DD8" w:rsidRPr="00FD1AA2" w:rsidRDefault="00DA4DD8" w:rsidP="00FD1AA2">
      <w:pPr>
        <w:pStyle w:val="ListParagraph"/>
        <w:spacing w:after="240" w:line="360" w:lineRule="auto"/>
        <w:ind w:left="1170"/>
        <w:jc w:val="both"/>
        <w:rPr>
          <w:rFonts w:ascii="Times New Roman" w:hAnsi="Times New Roman"/>
        </w:rPr>
      </w:pPr>
      <w:r w:rsidRPr="00FD1AA2">
        <w:rPr>
          <w:rFonts w:ascii="Times New Roman" w:hAnsi="Times New Roman"/>
        </w:rPr>
        <w:t>All loans and advances that are past due for a period of 6 months to one year, shall be included in this category. Those are non performing loan.</w:t>
      </w:r>
    </w:p>
    <w:p w:rsidR="00DA4DD8" w:rsidRPr="00FD1AA2" w:rsidRDefault="00F21BC5" w:rsidP="00FD1AA2">
      <w:pPr>
        <w:pStyle w:val="ListParagraph"/>
        <w:numPr>
          <w:ilvl w:val="0"/>
          <w:numId w:val="30"/>
        </w:numPr>
        <w:spacing w:after="240" w:line="360" w:lineRule="auto"/>
        <w:jc w:val="both"/>
        <w:rPr>
          <w:rFonts w:ascii="Times New Roman" w:hAnsi="Times New Roman"/>
          <w:b/>
        </w:rPr>
      </w:pPr>
      <w:r>
        <w:rPr>
          <w:rFonts w:ascii="Times New Roman" w:hAnsi="Times New Roman"/>
          <w:b/>
        </w:rPr>
        <w:t>Bad/Pass L</w:t>
      </w:r>
      <w:r w:rsidR="00DA4DD8" w:rsidRPr="00FD1AA2">
        <w:rPr>
          <w:rFonts w:ascii="Times New Roman" w:hAnsi="Times New Roman"/>
          <w:b/>
        </w:rPr>
        <w:t>oan</w:t>
      </w:r>
    </w:p>
    <w:p w:rsidR="00632DDE" w:rsidRDefault="00DA4DD8" w:rsidP="00FD1AA2">
      <w:pPr>
        <w:pStyle w:val="ListParagraph"/>
        <w:spacing w:after="240" w:line="360" w:lineRule="auto"/>
        <w:ind w:left="1170"/>
        <w:jc w:val="both"/>
        <w:rPr>
          <w:rFonts w:ascii="Times New Roman" w:hAnsi="Times New Roman"/>
        </w:rPr>
      </w:pPr>
      <w:r w:rsidRPr="00FD1AA2">
        <w:rPr>
          <w:rFonts w:ascii="Times New Roman" w:hAnsi="Times New Roman"/>
        </w:rPr>
        <w:t>All loans and advances, which are past due for a period of 6 months to one year, shall be included in this category. Those are non performing Loan.</w:t>
      </w:r>
    </w:p>
    <w:p w:rsidR="00632DDE" w:rsidRDefault="00632DDE">
      <w:pPr>
        <w:spacing w:after="200" w:line="276" w:lineRule="auto"/>
        <w:rPr>
          <w:rFonts w:ascii="Times New Roman" w:hAnsi="Times New Roman"/>
        </w:rPr>
      </w:pPr>
      <w:r>
        <w:rPr>
          <w:rFonts w:ascii="Times New Roman" w:hAnsi="Times New Roman"/>
        </w:rPr>
        <w:br w:type="page"/>
      </w:r>
    </w:p>
    <w:p w:rsidR="00DA4DD8" w:rsidRDefault="00632DDE" w:rsidP="004D4CD8">
      <w:pPr>
        <w:pStyle w:val="ListParagraph"/>
        <w:spacing w:after="240" w:line="360" w:lineRule="auto"/>
        <w:ind w:left="0"/>
        <w:jc w:val="center"/>
        <w:rPr>
          <w:rFonts w:ascii="Times New Roman" w:hAnsi="Times New Roman"/>
          <w:b/>
        </w:rPr>
      </w:pPr>
      <w:r>
        <w:rPr>
          <w:rFonts w:ascii="Times New Roman" w:hAnsi="Times New Roman"/>
          <w:b/>
        </w:rPr>
        <w:lastRenderedPageBreak/>
        <w:t xml:space="preserve">Table </w:t>
      </w:r>
      <w:r w:rsidR="003234BA">
        <w:rPr>
          <w:rFonts w:ascii="Times New Roman" w:hAnsi="Times New Roman"/>
          <w:b/>
        </w:rPr>
        <w:t xml:space="preserve">: </w:t>
      </w:r>
      <w:r w:rsidR="004D4CD8">
        <w:rPr>
          <w:rFonts w:ascii="Times New Roman" w:hAnsi="Times New Roman"/>
          <w:b/>
        </w:rPr>
        <w:t>3.1</w:t>
      </w:r>
    </w:p>
    <w:p w:rsidR="001555D4" w:rsidRPr="00632DDE" w:rsidRDefault="001555D4" w:rsidP="004D4CD8">
      <w:pPr>
        <w:pStyle w:val="ListParagraph"/>
        <w:spacing w:after="240" w:line="360" w:lineRule="auto"/>
        <w:ind w:left="0"/>
        <w:jc w:val="center"/>
        <w:rPr>
          <w:rFonts w:ascii="Times New Roman" w:hAnsi="Times New Roman"/>
          <w:b/>
        </w:rPr>
      </w:pPr>
      <w:r>
        <w:rPr>
          <w:rFonts w:ascii="Times New Roman" w:hAnsi="Times New Roman"/>
          <w:b/>
        </w:rPr>
        <w:t>Non-Performing Loan</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24"/>
        <w:gridCol w:w="3901"/>
      </w:tblGrid>
      <w:tr w:rsidR="00FD1AA2" w:rsidRPr="00FD1AA2" w:rsidTr="00AA5E9A">
        <w:trPr>
          <w:jc w:val="center"/>
        </w:trPr>
        <w:tc>
          <w:tcPr>
            <w:tcW w:w="2712" w:type="pct"/>
          </w:tcPr>
          <w:p w:rsidR="00DA4DD8" w:rsidRPr="00FD1AA2" w:rsidRDefault="00DA4DD8" w:rsidP="00AA5E9A">
            <w:pPr>
              <w:pStyle w:val="ListParagraph"/>
              <w:spacing w:line="360" w:lineRule="auto"/>
              <w:ind w:left="0"/>
              <w:jc w:val="center"/>
              <w:rPr>
                <w:rFonts w:ascii="Times New Roman" w:hAnsi="Times New Roman"/>
                <w:b/>
              </w:rPr>
            </w:pPr>
            <w:r w:rsidRPr="00FD1AA2">
              <w:rPr>
                <w:rFonts w:ascii="Times New Roman" w:hAnsi="Times New Roman"/>
                <w:b/>
              </w:rPr>
              <w:t>Classification of</w:t>
            </w:r>
            <w:r w:rsidR="00DF208D">
              <w:rPr>
                <w:rFonts w:ascii="Times New Roman" w:hAnsi="Times New Roman"/>
                <w:b/>
              </w:rPr>
              <w:t xml:space="preserve"> </w:t>
            </w:r>
            <w:r w:rsidR="00AA7FA2">
              <w:rPr>
                <w:rFonts w:ascii="Times New Roman" w:hAnsi="Times New Roman"/>
                <w:b/>
              </w:rPr>
              <w:t>Loan</w:t>
            </w:r>
          </w:p>
        </w:tc>
        <w:tc>
          <w:tcPr>
            <w:tcW w:w="2288" w:type="pct"/>
          </w:tcPr>
          <w:p w:rsidR="00DA4DD8" w:rsidRPr="00FD1AA2" w:rsidRDefault="00DA4DD8" w:rsidP="001555D4">
            <w:pPr>
              <w:pStyle w:val="ListParagraph"/>
              <w:spacing w:line="360" w:lineRule="auto"/>
              <w:ind w:left="0"/>
              <w:jc w:val="center"/>
              <w:rPr>
                <w:rFonts w:ascii="Times New Roman" w:hAnsi="Times New Roman"/>
                <w:b/>
              </w:rPr>
            </w:pPr>
            <w:r w:rsidRPr="00FD1AA2">
              <w:rPr>
                <w:rFonts w:ascii="Times New Roman" w:hAnsi="Times New Roman"/>
                <w:b/>
              </w:rPr>
              <w:t xml:space="preserve">Provision </w:t>
            </w:r>
            <w:r w:rsidR="001555D4">
              <w:rPr>
                <w:rFonts w:ascii="Times New Roman" w:hAnsi="Times New Roman"/>
                <w:b/>
              </w:rPr>
              <w:t>R</w:t>
            </w:r>
            <w:r w:rsidRPr="00FD1AA2">
              <w:rPr>
                <w:rFonts w:ascii="Times New Roman" w:hAnsi="Times New Roman"/>
                <w:b/>
              </w:rPr>
              <w:t>equired</w:t>
            </w:r>
          </w:p>
        </w:tc>
      </w:tr>
      <w:tr w:rsidR="00FD1AA2" w:rsidRPr="00FD1AA2" w:rsidTr="00AA5E9A">
        <w:trPr>
          <w:jc w:val="center"/>
        </w:trPr>
        <w:tc>
          <w:tcPr>
            <w:tcW w:w="2712" w:type="pct"/>
          </w:tcPr>
          <w:p w:rsidR="00DA4DD8" w:rsidRPr="00FD1AA2" w:rsidRDefault="00DA4DD8" w:rsidP="00AA5E9A">
            <w:pPr>
              <w:pStyle w:val="ListParagraph"/>
              <w:spacing w:line="360" w:lineRule="auto"/>
              <w:ind w:left="0"/>
              <w:jc w:val="both"/>
              <w:rPr>
                <w:rFonts w:ascii="Times New Roman" w:hAnsi="Times New Roman"/>
              </w:rPr>
            </w:pPr>
            <w:r w:rsidRPr="00FD1AA2">
              <w:rPr>
                <w:rFonts w:ascii="Times New Roman" w:hAnsi="Times New Roman"/>
              </w:rPr>
              <w:t>Good</w:t>
            </w:r>
          </w:p>
        </w:tc>
        <w:tc>
          <w:tcPr>
            <w:tcW w:w="2288" w:type="pct"/>
          </w:tcPr>
          <w:p w:rsidR="00DA4DD8" w:rsidRPr="00FD1AA2" w:rsidRDefault="00DA4DD8" w:rsidP="00AA5E9A">
            <w:pPr>
              <w:pStyle w:val="ListParagraph"/>
              <w:spacing w:line="360" w:lineRule="auto"/>
              <w:ind w:left="0"/>
              <w:jc w:val="both"/>
              <w:rPr>
                <w:rFonts w:ascii="Times New Roman" w:hAnsi="Times New Roman"/>
              </w:rPr>
            </w:pPr>
            <w:r w:rsidRPr="00FD1AA2">
              <w:rPr>
                <w:rFonts w:ascii="Times New Roman" w:hAnsi="Times New Roman"/>
              </w:rPr>
              <w:t>1%</w:t>
            </w:r>
          </w:p>
        </w:tc>
      </w:tr>
      <w:tr w:rsidR="00FD1AA2" w:rsidRPr="00FD1AA2" w:rsidTr="00AA5E9A">
        <w:trPr>
          <w:jc w:val="center"/>
        </w:trPr>
        <w:tc>
          <w:tcPr>
            <w:tcW w:w="2712" w:type="pct"/>
          </w:tcPr>
          <w:p w:rsidR="00DA4DD8" w:rsidRPr="00FD1AA2" w:rsidRDefault="00DA4DD8" w:rsidP="00AA5E9A">
            <w:pPr>
              <w:pStyle w:val="ListParagraph"/>
              <w:spacing w:line="360" w:lineRule="auto"/>
              <w:ind w:left="0"/>
              <w:jc w:val="both"/>
              <w:rPr>
                <w:rFonts w:ascii="Times New Roman" w:hAnsi="Times New Roman"/>
              </w:rPr>
            </w:pPr>
            <w:r w:rsidRPr="00FD1AA2">
              <w:rPr>
                <w:rFonts w:ascii="Times New Roman" w:hAnsi="Times New Roman"/>
              </w:rPr>
              <w:t>Sub Standard</w:t>
            </w:r>
          </w:p>
        </w:tc>
        <w:tc>
          <w:tcPr>
            <w:tcW w:w="2288" w:type="pct"/>
          </w:tcPr>
          <w:p w:rsidR="00DA4DD8" w:rsidRPr="00FD1AA2" w:rsidRDefault="00DA4DD8" w:rsidP="00AA5E9A">
            <w:pPr>
              <w:pStyle w:val="ListParagraph"/>
              <w:spacing w:line="360" w:lineRule="auto"/>
              <w:ind w:left="0"/>
              <w:jc w:val="both"/>
              <w:rPr>
                <w:rFonts w:ascii="Times New Roman" w:hAnsi="Times New Roman"/>
              </w:rPr>
            </w:pPr>
            <w:r w:rsidRPr="00FD1AA2">
              <w:rPr>
                <w:rFonts w:ascii="Times New Roman" w:hAnsi="Times New Roman"/>
              </w:rPr>
              <w:t>25%</w:t>
            </w:r>
          </w:p>
        </w:tc>
      </w:tr>
      <w:tr w:rsidR="00FD1AA2" w:rsidRPr="00FD1AA2" w:rsidTr="00AA5E9A">
        <w:trPr>
          <w:jc w:val="center"/>
        </w:trPr>
        <w:tc>
          <w:tcPr>
            <w:tcW w:w="2712" w:type="pct"/>
          </w:tcPr>
          <w:p w:rsidR="00DA4DD8" w:rsidRPr="00FD1AA2" w:rsidRDefault="00DA4DD8" w:rsidP="00AA5E9A">
            <w:pPr>
              <w:pStyle w:val="ListParagraph"/>
              <w:spacing w:line="360" w:lineRule="auto"/>
              <w:ind w:left="0"/>
              <w:jc w:val="both"/>
              <w:rPr>
                <w:rFonts w:ascii="Times New Roman" w:hAnsi="Times New Roman"/>
              </w:rPr>
            </w:pPr>
            <w:r w:rsidRPr="00FD1AA2">
              <w:rPr>
                <w:rFonts w:ascii="Times New Roman" w:hAnsi="Times New Roman"/>
              </w:rPr>
              <w:t>Doubtful</w:t>
            </w:r>
          </w:p>
        </w:tc>
        <w:tc>
          <w:tcPr>
            <w:tcW w:w="2288" w:type="pct"/>
          </w:tcPr>
          <w:p w:rsidR="00DA4DD8" w:rsidRPr="00FD1AA2" w:rsidRDefault="00DA4DD8" w:rsidP="00AA5E9A">
            <w:pPr>
              <w:pStyle w:val="ListParagraph"/>
              <w:spacing w:line="360" w:lineRule="auto"/>
              <w:ind w:left="0"/>
              <w:jc w:val="both"/>
              <w:rPr>
                <w:rFonts w:ascii="Times New Roman" w:hAnsi="Times New Roman"/>
              </w:rPr>
            </w:pPr>
            <w:r w:rsidRPr="00FD1AA2">
              <w:rPr>
                <w:rFonts w:ascii="Times New Roman" w:hAnsi="Times New Roman"/>
              </w:rPr>
              <w:t>50%</w:t>
            </w:r>
          </w:p>
        </w:tc>
      </w:tr>
      <w:tr w:rsidR="00FD1AA2" w:rsidRPr="00FD1AA2" w:rsidTr="00AA5E9A">
        <w:trPr>
          <w:jc w:val="center"/>
        </w:trPr>
        <w:tc>
          <w:tcPr>
            <w:tcW w:w="2712" w:type="pct"/>
          </w:tcPr>
          <w:p w:rsidR="00DA4DD8" w:rsidRPr="00FD1AA2" w:rsidRDefault="00DA4DD8" w:rsidP="00AA5E9A">
            <w:pPr>
              <w:pStyle w:val="ListParagraph"/>
              <w:spacing w:line="360" w:lineRule="auto"/>
              <w:ind w:left="0"/>
              <w:jc w:val="both"/>
              <w:rPr>
                <w:rFonts w:ascii="Times New Roman" w:hAnsi="Times New Roman"/>
              </w:rPr>
            </w:pPr>
            <w:r w:rsidRPr="00FD1AA2">
              <w:rPr>
                <w:rFonts w:ascii="Times New Roman" w:hAnsi="Times New Roman"/>
              </w:rPr>
              <w:t>Bad loans</w:t>
            </w:r>
          </w:p>
        </w:tc>
        <w:tc>
          <w:tcPr>
            <w:tcW w:w="2288" w:type="pct"/>
          </w:tcPr>
          <w:p w:rsidR="00DA4DD8" w:rsidRPr="00FD1AA2" w:rsidRDefault="00DA4DD8" w:rsidP="00AA5E9A">
            <w:pPr>
              <w:pStyle w:val="ListParagraph"/>
              <w:spacing w:line="360" w:lineRule="auto"/>
              <w:ind w:left="0"/>
              <w:jc w:val="both"/>
              <w:rPr>
                <w:rFonts w:ascii="Times New Roman" w:hAnsi="Times New Roman"/>
              </w:rPr>
            </w:pPr>
            <w:r w:rsidRPr="00FD1AA2">
              <w:rPr>
                <w:rFonts w:ascii="Times New Roman" w:hAnsi="Times New Roman"/>
              </w:rPr>
              <w:t>100%</w:t>
            </w:r>
          </w:p>
        </w:tc>
      </w:tr>
    </w:tbl>
    <w:p w:rsidR="00DA4DD8" w:rsidRPr="003234BA" w:rsidRDefault="0055112E" w:rsidP="0055112E">
      <w:pPr>
        <w:pStyle w:val="ListParagraph"/>
        <w:spacing w:after="240" w:line="360" w:lineRule="auto"/>
        <w:ind w:left="0"/>
        <w:jc w:val="both"/>
        <w:rPr>
          <w:rFonts w:ascii="Times New Roman" w:hAnsi="Times New Roman"/>
          <w:i/>
        </w:rPr>
      </w:pPr>
      <w:r w:rsidRPr="003234BA">
        <w:rPr>
          <w:rFonts w:ascii="Times New Roman" w:hAnsi="Times New Roman"/>
          <w:i/>
        </w:rPr>
        <w:t>Source: NRB Directive, 2005</w:t>
      </w:r>
    </w:p>
    <w:p w:rsidR="00DA4DD8" w:rsidRPr="00FD1AA2" w:rsidRDefault="00DA4DD8" w:rsidP="00FD1AA2">
      <w:pPr>
        <w:spacing w:after="240" w:line="360" w:lineRule="auto"/>
        <w:ind w:left="-270" w:firstLine="270"/>
        <w:jc w:val="both"/>
        <w:rPr>
          <w:rFonts w:ascii="Times New Roman" w:hAnsi="Times New Roman"/>
        </w:rPr>
      </w:pPr>
      <w:r w:rsidRPr="00FD1AA2">
        <w:rPr>
          <w:rFonts w:ascii="Times New Roman" w:hAnsi="Times New Roman"/>
        </w:rPr>
        <w:tab/>
        <w:t>Non Performing Loan Ratio =</w:t>
      </w:r>
      <m:oMath>
        <m:f>
          <m:fPr>
            <m:ctrlPr>
              <w:rPr>
                <w:rFonts w:ascii="Cambria Math" w:eastAsia="Times New Roman" w:hAnsi="Cambria Math"/>
                <w:sz w:val="30"/>
                <w:szCs w:val="26"/>
              </w:rPr>
            </m:ctrlPr>
          </m:fPr>
          <m:num>
            <m:r>
              <m:rPr>
                <m:sty m:val="p"/>
              </m:rPr>
              <w:rPr>
                <w:rFonts w:ascii="Cambria Math" w:eastAsia="Times New Roman" w:hAnsi="Cambria Math"/>
                <w:sz w:val="30"/>
                <w:szCs w:val="26"/>
              </w:rPr>
              <m:t>Total</m:t>
            </m:r>
            <m:r>
              <m:rPr>
                <m:sty m:val="p"/>
              </m:rPr>
              <w:rPr>
                <w:rFonts w:ascii="Cambria Math" w:eastAsia="Times New Roman"/>
                <w:sz w:val="30"/>
                <w:szCs w:val="26"/>
              </w:rPr>
              <m:t xml:space="preserve"> </m:t>
            </m:r>
            <m:r>
              <m:rPr>
                <m:sty m:val="p"/>
              </m:rPr>
              <w:rPr>
                <w:rFonts w:ascii="Cambria Math" w:eastAsia="Times New Roman" w:hAnsi="Cambria Math"/>
                <w:sz w:val="30"/>
                <w:szCs w:val="26"/>
              </w:rPr>
              <m:t>Non</m:t>
            </m:r>
            <m:r>
              <m:rPr>
                <m:sty m:val="p"/>
              </m:rPr>
              <w:rPr>
                <w:rFonts w:ascii="Cambria Math" w:eastAsia="Times New Roman"/>
                <w:sz w:val="30"/>
                <w:szCs w:val="26"/>
              </w:rPr>
              <m:t xml:space="preserve"> </m:t>
            </m:r>
            <m:r>
              <m:rPr>
                <m:sty m:val="p"/>
              </m:rPr>
              <w:rPr>
                <w:rFonts w:ascii="Cambria Math" w:eastAsia="Times New Roman" w:hAnsi="Cambria Math"/>
                <w:sz w:val="30"/>
                <w:szCs w:val="26"/>
              </w:rPr>
              <m:t>Performing</m:t>
            </m:r>
            <m:r>
              <m:rPr>
                <m:sty m:val="p"/>
              </m:rPr>
              <w:rPr>
                <w:rFonts w:ascii="Cambria Math" w:eastAsia="Times New Roman"/>
                <w:sz w:val="30"/>
                <w:szCs w:val="26"/>
              </w:rPr>
              <m:t xml:space="preserve"> </m:t>
            </m:r>
            <m:r>
              <m:rPr>
                <m:sty m:val="p"/>
              </m:rPr>
              <w:rPr>
                <w:rFonts w:ascii="Cambria Math" w:eastAsia="Times New Roman" w:hAnsi="Cambria Math"/>
                <w:sz w:val="30"/>
                <w:szCs w:val="26"/>
              </w:rPr>
              <m:t>Loan</m:t>
            </m:r>
          </m:num>
          <m:den>
            <m:r>
              <m:rPr>
                <m:sty m:val="p"/>
              </m:rPr>
              <w:rPr>
                <w:rFonts w:ascii="Cambria Math" w:eastAsia="Times New Roman" w:hAnsi="Cambria Math"/>
                <w:sz w:val="30"/>
                <w:szCs w:val="26"/>
              </w:rPr>
              <m:t>Total</m:t>
            </m:r>
            <m:r>
              <m:rPr>
                <m:sty m:val="p"/>
              </m:rPr>
              <w:rPr>
                <w:rFonts w:ascii="Cambria Math" w:eastAsia="Times New Roman"/>
                <w:sz w:val="30"/>
                <w:szCs w:val="26"/>
              </w:rPr>
              <m:t xml:space="preserve"> </m:t>
            </m:r>
            <m:r>
              <m:rPr>
                <m:sty m:val="p"/>
              </m:rPr>
              <w:rPr>
                <w:rFonts w:ascii="Cambria Math" w:eastAsia="Times New Roman" w:hAnsi="Cambria Math"/>
                <w:sz w:val="30"/>
                <w:szCs w:val="26"/>
              </w:rPr>
              <m:t>Loan</m:t>
            </m:r>
            <m:r>
              <m:rPr>
                <m:sty m:val="p"/>
              </m:rPr>
              <w:rPr>
                <w:rFonts w:ascii="Cambria Math" w:eastAsia="Times New Roman"/>
                <w:sz w:val="30"/>
                <w:szCs w:val="26"/>
              </w:rPr>
              <m:t xml:space="preserve"> </m:t>
            </m:r>
            <m:r>
              <m:rPr>
                <m:sty m:val="p"/>
              </m:rPr>
              <w:rPr>
                <w:rFonts w:ascii="Cambria Math" w:eastAsia="Times New Roman" w:hAnsi="Cambria Math"/>
                <w:sz w:val="30"/>
                <w:szCs w:val="26"/>
              </w:rPr>
              <m:t>and</m:t>
            </m:r>
            <m:r>
              <m:rPr>
                <m:sty m:val="p"/>
              </m:rPr>
              <w:rPr>
                <w:rFonts w:ascii="Cambria Math" w:eastAsia="Times New Roman"/>
                <w:sz w:val="30"/>
                <w:szCs w:val="26"/>
              </w:rPr>
              <m:t xml:space="preserve"> </m:t>
            </m:r>
            <m:r>
              <m:rPr>
                <m:sty m:val="p"/>
              </m:rPr>
              <w:rPr>
                <w:rFonts w:ascii="Cambria Math" w:eastAsia="Times New Roman" w:hAnsi="Cambria Math"/>
                <w:sz w:val="30"/>
                <w:szCs w:val="26"/>
              </w:rPr>
              <m:t>Advance</m:t>
            </m:r>
          </m:den>
        </m:f>
        <m:r>
          <w:rPr>
            <w:rFonts w:ascii="Cambria Math" w:eastAsia="Times New Roman"/>
            <w:sz w:val="30"/>
            <w:szCs w:val="26"/>
          </w:rPr>
          <m:t xml:space="preserve"> </m:t>
        </m:r>
      </m:oMath>
      <w:r w:rsidRPr="00FD1AA2">
        <w:rPr>
          <w:rFonts w:ascii="Times New Roman" w:hAnsi="Times New Roman"/>
        </w:rPr>
        <w:t>×100</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 xml:space="preserve">Where, </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 xml:space="preserve">Total Non-Performing Loan (NPL) = Sub standard loan+ Doubtful Loan + Loan </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Total Loan and Advances = Total Performing Loan + Total Non-Performing Loan</w:t>
      </w:r>
    </w:p>
    <w:p w:rsidR="00DA4DD8" w:rsidRPr="00FD1AA2" w:rsidRDefault="00DA4DD8" w:rsidP="00FD1AA2">
      <w:pPr>
        <w:spacing w:after="240" w:line="360" w:lineRule="auto"/>
        <w:ind w:left="-270" w:firstLine="270"/>
        <w:jc w:val="both"/>
        <w:rPr>
          <w:rFonts w:ascii="Times New Roman" w:hAnsi="Times New Roman"/>
        </w:rPr>
      </w:pPr>
      <w:r w:rsidRPr="00FD1AA2">
        <w:rPr>
          <w:rFonts w:ascii="Times New Roman" w:hAnsi="Times New Roman"/>
        </w:rPr>
        <w:t xml:space="preserve">Loan Loss Coverage Ratio = </w:t>
      </w:r>
      <m:oMath>
        <m:f>
          <m:fPr>
            <m:ctrlPr>
              <w:rPr>
                <w:rFonts w:ascii="Cambria Math" w:eastAsia="Times New Roman" w:hAnsi="Cambria Math"/>
                <w:sz w:val="30"/>
                <w:szCs w:val="26"/>
              </w:rPr>
            </m:ctrlPr>
          </m:fPr>
          <m:num>
            <m:r>
              <m:rPr>
                <m:sty m:val="p"/>
              </m:rPr>
              <w:rPr>
                <w:rFonts w:ascii="Cambria Math" w:eastAsia="Times New Roman" w:hAnsi="Cambria Math"/>
                <w:sz w:val="30"/>
                <w:szCs w:val="26"/>
              </w:rPr>
              <m:t>Total</m:t>
            </m:r>
            <m:r>
              <m:rPr>
                <m:sty m:val="p"/>
              </m:rPr>
              <w:rPr>
                <w:rFonts w:ascii="Cambria Math" w:eastAsia="Times New Roman"/>
                <w:sz w:val="30"/>
                <w:szCs w:val="26"/>
              </w:rPr>
              <m:t xml:space="preserve"> </m:t>
            </m:r>
            <m:r>
              <m:rPr>
                <m:sty m:val="p"/>
              </m:rPr>
              <w:rPr>
                <w:rFonts w:ascii="Cambria Math" w:eastAsia="Times New Roman" w:hAnsi="Cambria Math"/>
                <w:sz w:val="30"/>
                <w:szCs w:val="26"/>
              </w:rPr>
              <m:t>Loan</m:t>
            </m:r>
            <m:r>
              <m:rPr>
                <m:sty m:val="p"/>
              </m:rPr>
              <w:rPr>
                <w:rFonts w:ascii="Cambria Math" w:eastAsia="Times New Roman"/>
                <w:sz w:val="30"/>
                <w:szCs w:val="26"/>
              </w:rPr>
              <m:t xml:space="preserve"> </m:t>
            </m:r>
            <m:r>
              <m:rPr>
                <m:sty m:val="p"/>
              </m:rPr>
              <w:rPr>
                <w:rFonts w:ascii="Cambria Math" w:eastAsia="Times New Roman" w:hAnsi="Cambria Math"/>
                <w:sz w:val="30"/>
                <w:szCs w:val="26"/>
              </w:rPr>
              <m:t>Loss</m:t>
            </m:r>
            <m:r>
              <m:rPr>
                <m:sty m:val="p"/>
              </m:rPr>
              <w:rPr>
                <w:rFonts w:ascii="Cambria Math" w:eastAsia="Times New Roman"/>
                <w:sz w:val="30"/>
                <w:szCs w:val="26"/>
              </w:rPr>
              <m:t xml:space="preserve"> </m:t>
            </m:r>
            <m:r>
              <m:rPr>
                <m:sty m:val="p"/>
              </m:rPr>
              <w:rPr>
                <w:rFonts w:ascii="Cambria Math" w:eastAsia="Times New Roman" w:hAnsi="Cambria Math"/>
                <w:sz w:val="30"/>
                <w:szCs w:val="26"/>
              </w:rPr>
              <m:t>Provision</m:t>
            </m:r>
            <m:r>
              <m:rPr>
                <m:sty m:val="p"/>
              </m:rPr>
              <w:rPr>
                <w:rFonts w:ascii="Cambria Math" w:eastAsia="Times New Roman"/>
                <w:sz w:val="30"/>
                <w:szCs w:val="26"/>
              </w:rPr>
              <m:t xml:space="preserve"> (</m:t>
            </m:r>
            <m:r>
              <m:rPr>
                <m:sty m:val="p"/>
              </m:rPr>
              <w:rPr>
                <w:rFonts w:ascii="Cambria Math" w:eastAsia="Times New Roman" w:hAnsi="Cambria Math"/>
                <w:sz w:val="30"/>
                <w:szCs w:val="26"/>
              </w:rPr>
              <m:t>LLP</m:t>
            </m:r>
            <m:r>
              <m:rPr>
                <m:sty m:val="p"/>
              </m:rPr>
              <w:rPr>
                <w:rFonts w:ascii="Cambria Math" w:eastAsia="Times New Roman"/>
                <w:sz w:val="30"/>
                <w:szCs w:val="26"/>
              </w:rPr>
              <m:t>)</m:t>
            </m:r>
          </m:num>
          <m:den>
            <m:r>
              <m:rPr>
                <m:sty m:val="p"/>
              </m:rPr>
              <w:rPr>
                <w:rFonts w:ascii="Cambria Math" w:eastAsia="Times New Roman" w:hAnsi="Cambria Math"/>
                <w:sz w:val="30"/>
                <w:szCs w:val="26"/>
              </w:rPr>
              <m:t>Total</m:t>
            </m:r>
            <m:r>
              <m:rPr>
                <m:sty m:val="p"/>
              </m:rPr>
              <w:rPr>
                <w:rFonts w:ascii="Cambria Math" w:eastAsia="Times New Roman"/>
                <w:sz w:val="30"/>
                <w:szCs w:val="26"/>
              </w:rPr>
              <m:t xml:space="preserve"> </m:t>
            </m:r>
            <m:r>
              <m:rPr>
                <m:sty m:val="p"/>
              </m:rPr>
              <w:rPr>
                <w:rFonts w:ascii="Cambria Math" w:eastAsia="Times New Roman" w:hAnsi="Cambria Math"/>
                <w:sz w:val="30"/>
                <w:szCs w:val="26"/>
              </w:rPr>
              <m:t xml:space="preserve">Loan </m:t>
            </m:r>
            <m:r>
              <w:rPr>
                <w:rFonts w:ascii="Cambria Math" w:eastAsia="Times New Roman" w:hAnsi="Cambria Math"/>
                <w:sz w:val="30"/>
                <w:szCs w:val="26"/>
              </w:rPr>
              <m:t>&amp; Advance</m:t>
            </m:r>
          </m:den>
        </m:f>
        <m:r>
          <w:rPr>
            <w:rFonts w:ascii="Cambria Math" w:eastAsia="Times New Roman"/>
            <w:sz w:val="30"/>
            <w:szCs w:val="26"/>
          </w:rPr>
          <m:t xml:space="preserve"> </m:t>
        </m:r>
      </m:oMath>
      <w:r w:rsidRPr="00FD1AA2">
        <w:rPr>
          <w:rFonts w:ascii="Times New Roman" w:hAnsi="Times New Roman"/>
        </w:rPr>
        <w:t>× 100</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 xml:space="preserve">Where, </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Total Loan Loss (LLP) = Provision on (Pass Loan + Restructured Loan + Sub standard + Loan + Doubtful Loan</w:t>
      </w:r>
    </w:p>
    <w:p w:rsidR="00DA4DD8" w:rsidRPr="00FD1AA2" w:rsidRDefault="002B658F" w:rsidP="00FD1AA2">
      <w:pPr>
        <w:spacing w:after="240" w:line="360" w:lineRule="auto"/>
        <w:jc w:val="both"/>
        <w:rPr>
          <w:rFonts w:ascii="Times New Roman" w:hAnsi="Times New Roman"/>
        </w:rPr>
      </w:pPr>
      <w:r>
        <w:rPr>
          <w:rFonts w:ascii="Times New Roman" w:hAnsi="Times New Roman"/>
        </w:rPr>
        <w:t>Total Loan &amp; Advance</w:t>
      </w:r>
      <w:r w:rsidR="00DA4DD8" w:rsidRPr="00FD1AA2">
        <w:rPr>
          <w:rFonts w:ascii="Times New Roman" w:hAnsi="Times New Roman"/>
        </w:rPr>
        <w:t xml:space="preserve"> = </w:t>
      </w:r>
      <w:r>
        <w:rPr>
          <w:rFonts w:ascii="Times New Roman" w:hAnsi="Times New Roman"/>
        </w:rPr>
        <w:t>Total Performing Loan &amp; Total Non-Performing L</w:t>
      </w:r>
      <w:r w:rsidR="00DA4DD8" w:rsidRPr="00FD1AA2">
        <w:rPr>
          <w:rFonts w:ascii="Times New Roman" w:hAnsi="Times New Roman"/>
        </w:rPr>
        <w:t>oan</w:t>
      </w:r>
    </w:p>
    <w:p w:rsidR="00DA4DD8" w:rsidRPr="00C91CAA" w:rsidRDefault="00C91CAA" w:rsidP="00FD1AA2">
      <w:pPr>
        <w:spacing w:after="240" w:line="360" w:lineRule="auto"/>
        <w:ind w:left="-270" w:firstLine="270"/>
        <w:jc w:val="both"/>
        <w:rPr>
          <w:rFonts w:ascii="Times New Roman" w:hAnsi="Times New Roman"/>
          <w:b/>
          <w:sz w:val="28"/>
        </w:rPr>
      </w:pPr>
      <w:r>
        <w:rPr>
          <w:rFonts w:ascii="Times New Roman" w:hAnsi="Times New Roman"/>
          <w:b/>
          <w:sz w:val="28"/>
        </w:rPr>
        <w:t xml:space="preserve">3.7.1.3 </w:t>
      </w:r>
      <w:r w:rsidR="00DA4DD8" w:rsidRPr="00C91CAA">
        <w:rPr>
          <w:rFonts w:ascii="Times New Roman" w:hAnsi="Times New Roman"/>
          <w:b/>
          <w:sz w:val="28"/>
        </w:rPr>
        <w:t>Management Quality</w:t>
      </w:r>
    </w:p>
    <w:p w:rsidR="00DA4DD8" w:rsidRPr="00FD1AA2" w:rsidRDefault="00DA4DD8" w:rsidP="00FD1AA2">
      <w:pPr>
        <w:spacing w:after="240" w:line="360" w:lineRule="auto"/>
        <w:jc w:val="both"/>
        <w:rPr>
          <w:rFonts w:ascii="Times New Roman" w:hAnsi="Times New Roman"/>
          <w:b/>
        </w:rPr>
      </w:pPr>
      <w:r w:rsidRPr="00FD1AA2">
        <w:rPr>
          <w:rFonts w:ascii="Times New Roman" w:hAnsi="Times New Roman"/>
          <w:b/>
        </w:rPr>
        <w:t>a)</w:t>
      </w:r>
      <w:r w:rsidRPr="00FD1AA2">
        <w:rPr>
          <w:rFonts w:ascii="Times New Roman" w:hAnsi="Times New Roman"/>
          <w:b/>
        </w:rPr>
        <w:tab/>
        <w:t>Total Expenses to Total Income Ratio</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 xml:space="preserve">The total expenses to total income ratio is the expression of numerical relationship between total expenses and total income ratio of the company. It measures the proportion of total expenses in total revenues. A high of increasing ratio of expenses to total revenues can indicate that financial institutions may not be operating efficiently. This can be, but is not necessarily due to management due to management </w:t>
      </w:r>
      <w:r w:rsidRPr="00FD1AA2">
        <w:rPr>
          <w:rFonts w:ascii="Times New Roman" w:hAnsi="Times New Roman"/>
        </w:rPr>
        <w:lastRenderedPageBreak/>
        <w:t>deficiencies. In any cases it is likely to negatively affect profitability (IMF, 2000). Following is the expression of total expenses to total revenue ratio.</w:t>
      </w:r>
    </w:p>
    <w:p w:rsidR="00DA4DD8" w:rsidRPr="00FD1AA2" w:rsidRDefault="00DA4DD8" w:rsidP="00FD1AA2">
      <w:pPr>
        <w:tabs>
          <w:tab w:val="left" w:pos="720"/>
          <w:tab w:val="left" w:pos="1440"/>
          <w:tab w:val="left" w:pos="2160"/>
          <w:tab w:val="left" w:pos="2880"/>
          <w:tab w:val="left" w:pos="3600"/>
          <w:tab w:val="left" w:pos="4320"/>
          <w:tab w:val="left" w:pos="5040"/>
          <w:tab w:val="left" w:pos="5760"/>
          <w:tab w:val="left" w:pos="6480"/>
          <w:tab w:val="left" w:pos="6945"/>
        </w:tabs>
        <w:spacing w:after="240" w:line="360" w:lineRule="auto"/>
        <w:jc w:val="both"/>
        <w:rPr>
          <w:rFonts w:ascii="Times New Roman" w:hAnsi="Times New Roman"/>
        </w:rPr>
      </w:pPr>
      <w:r w:rsidRPr="00FD1AA2">
        <w:rPr>
          <w:rFonts w:ascii="Times New Roman" w:hAnsi="Times New Roman"/>
        </w:rPr>
        <w:t xml:space="preserve">Total expenses to total income ratio= </w:t>
      </w:r>
      <m:oMath>
        <m:f>
          <m:fPr>
            <m:ctrlPr>
              <w:rPr>
                <w:rFonts w:ascii="Cambria Math" w:eastAsia="Times New Roman" w:hAnsi="Cambria Math"/>
                <w:sz w:val="30"/>
                <w:szCs w:val="26"/>
              </w:rPr>
            </m:ctrlPr>
          </m:fPr>
          <m:num>
            <m:r>
              <m:rPr>
                <m:sty m:val="p"/>
              </m:rPr>
              <w:rPr>
                <w:rFonts w:ascii="Cambria Math" w:eastAsia="Times New Roman" w:hAnsi="Cambria Math"/>
                <w:sz w:val="30"/>
                <w:szCs w:val="26"/>
              </w:rPr>
              <m:t>Total</m:t>
            </m:r>
            <m:r>
              <m:rPr>
                <m:sty m:val="p"/>
              </m:rPr>
              <w:rPr>
                <w:rFonts w:ascii="Cambria Math" w:eastAsia="Times New Roman"/>
                <w:sz w:val="30"/>
                <w:szCs w:val="26"/>
              </w:rPr>
              <m:t xml:space="preserve"> </m:t>
            </m:r>
            <m:r>
              <m:rPr>
                <m:sty m:val="p"/>
              </m:rPr>
              <w:rPr>
                <w:rFonts w:ascii="Cambria Math" w:eastAsia="Times New Roman" w:hAnsi="Cambria Math"/>
                <w:sz w:val="30"/>
                <w:szCs w:val="26"/>
              </w:rPr>
              <m:t>Expenses</m:t>
            </m:r>
          </m:num>
          <m:den>
            <m:r>
              <m:rPr>
                <m:sty m:val="p"/>
              </m:rPr>
              <w:rPr>
                <w:rFonts w:ascii="Cambria Math" w:eastAsia="Times New Roman" w:hAnsi="Cambria Math"/>
                <w:sz w:val="30"/>
                <w:szCs w:val="26"/>
              </w:rPr>
              <m:t>Total</m:t>
            </m:r>
            <m:r>
              <m:rPr>
                <m:sty m:val="p"/>
              </m:rPr>
              <w:rPr>
                <w:rFonts w:ascii="Cambria Math" w:eastAsia="Times New Roman"/>
                <w:sz w:val="30"/>
                <w:szCs w:val="26"/>
              </w:rPr>
              <m:t xml:space="preserve"> </m:t>
            </m:r>
            <m:r>
              <m:rPr>
                <m:sty m:val="p"/>
              </m:rPr>
              <w:rPr>
                <w:rFonts w:ascii="Cambria Math" w:eastAsia="Times New Roman" w:hAnsi="Cambria Math"/>
                <w:sz w:val="30"/>
                <w:szCs w:val="26"/>
              </w:rPr>
              <m:t>Income</m:t>
            </m:r>
          </m:den>
        </m:f>
        <m:r>
          <w:rPr>
            <w:rFonts w:ascii="Cambria Math" w:eastAsia="Times New Roman"/>
            <w:sz w:val="30"/>
            <w:szCs w:val="26"/>
          </w:rPr>
          <m:t xml:space="preserve"> </m:t>
        </m:r>
      </m:oMath>
      <w:r w:rsidRPr="00FD1AA2">
        <w:rPr>
          <w:rFonts w:ascii="Times New Roman" w:hAnsi="Times New Roman"/>
        </w:rPr>
        <w:t>× 100</w:t>
      </w:r>
      <w:r w:rsidRPr="00FD1AA2">
        <w:rPr>
          <w:rFonts w:ascii="Times New Roman" w:hAnsi="Times New Roman"/>
        </w:rPr>
        <w:tab/>
      </w:r>
      <w:r w:rsidRPr="00FD1AA2">
        <w:rPr>
          <w:rFonts w:ascii="Times New Roman" w:hAnsi="Times New Roman"/>
        </w:rPr>
        <w:tab/>
      </w:r>
    </w:p>
    <w:p w:rsidR="00DA4DD8" w:rsidRPr="00FD1AA2" w:rsidRDefault="00DA4DD8" w:rsidP="00FD1AA2">
      <w:pPr>
        <w:spacing w:after="240" w:line="360" w:lineRule="auto"/>
        <w:jc w:val="both"/>
        <w:rPr>
          <w:rFonts w:ascii="Times New Roman" w:hAnsi="Times New Roman"/>
          <w:b/>
        </w:rPr>
      </w:pPr>
      <w:r w:rsidRPr="00FD1AA2">
        <w:rPr>
          <w:rFonts w:ascii="Times New Roman" w:hAnsi="Times New Roman"/>
          <w:b/>
        </w:rPr>
        <w:t>b)</w:t>
      </w:r>
      <w:r w:rsidRPr="00FD1AA2">
        <w:rPr>
          <w:rFonts w:ascii="Times New Roman" w:hAnsi="Times New Roman"/>
          <w:b/>
        </w:rPr>
        <w:tab/>
        <w:t>Earning per employee</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Earning per employee is the numerical relationship between net profits after tax to total number of employee. Low or decreasing earnings per employee can reflect inefficiencies as a result of overstaffing, with similar repercussions in terms of profitability (IMF, 2000). It is calculated by using the following formula.</w:t>
      </w:r>
    </w:p>
    <w:p w:rsidR="00DA4DD8" w:rsidRPr="00FD1AA2" w:rsidRDefault="00DA4DD8" w:rsidP="00FD1AA2">
      <w:pPr>
        <w:tabs>
          <w:tab w:val="left" w:pos="720"/>
          <w:tab w:val="left" w:pos="1440"/>
          <w:tab w:val="left" w:pos="2160"/>
          <w:tab w:val="left" w:pos="2880"/>
          <w:tab w:val="left" w:pos="3600"/>
          <w:tab w:val="left" w:pos="4320"/>
          <w:tab w:val="left" w:pos="5040"/>
          <w:tab w:val="left" w:pos="5760"/>
          <w:tab w:val="left" w:pos="6480"/>
          <w:tab w:val="left" w:pos="6945"/>
        </w:tabs>
        <w:spacing w:after="240" w:line="360" w:lineRule="auto"/>
        <w:jc w:val="both"/>
        <w:rPr>
          <w:rFonts w:ascii="Times New Roman" w:hAnsi="Times New Roman"/>
        </w:rPr>
      </w:pPr>
      <w:r w:rsidRPr="00FD1AA2">
        <w:rPr>
          <w:rFonts w:ascii="Times New Roman" w:hAnsi="Times New Roman"/>
        </w:rPr>
        <w:t>Earning Per employee =</w:t>
      </w:r>
      <m:oMath>
        <m:f>
          <m:fPr>
            <m:ctrlPr>
              <w:rPr>
                <w:rFonts w:ascii="Cambria Math" w:eastAsia="Times New Roman" w:hAnsi="Cambria Math"/>
                <w:sz w:val="30"/>
                <w:szCs w:val="26"/>
              </w:rPr>
            </m:ctrlPr>
          </m:fPr>
          <m:num>
            <m:r>
              <m:rPr>
                <m:sty m:val="p"/>
              </m:rPr>
              <w:rPr>
                <w:rFonts w:ascii="Cambria Math" w:eastAsia="Times New Roman" w:hAnsi="Cambria Math"/>
                <w:sz w:val="30"/>
                <w:szCs w:val="26"/>
              </w:rPr>
              <m:t>Net</m:t>
            </m:r>
            <m:r>
              <m:rPr>
                <m:sty m:val="p"/>
              </m:rPr>
              <w:rPr>
                <w:rFonts w:ascii="Cambria Math" w:eastAsia="Times New Roman"/>
                <w:sz w:val="30"/>
                <w:szCs w:val="26"/>
              </w:rPr>
              <m:t xml:space="preserve"> </m:t>
            </m:r>
            <m:r>
              <m:rPr>
                <m:sty m:val="p"/>
              </m:rPr>
              <w:rPr>
                <w:rFonts w:ascii="Cambria Math" w:eastAsia="Times New Roman" w:hAnsi="Cambria Math"/>
                <w:sz w:val="30"/>
                <w:szCs w:val="26"/>
              </w:rPr>
              <m:t>Profit</m:t>
            </m:r>
            <m:r>
              <m:rPr>
                <m:sty m:val="p"/>
              </m:rPr>
              <w:rPr>
                <w:rFonts w:ascii="Cambria Math" w:eastAsia="Times New Roman"/>
                <w:sz w:val="30"/>
                <w:szCs w:val="26"/>
              </w:rPr>
              <m:t xml:space="preserve"> A</m:t>
            </m:r>
            <m:r>
              <m:rPr>
                <m:sty m:val="p"/>
              </m:rPr>
              <w:rPr>
                <w:rFonts w:ascii="Cambria Math" w:eastAsia="Times New Roman" w:hAnsi="Cambria Math"/>
                <w:sz w:val="30"/>
                <w:szCs w:val="26"/>
              </w:rPr>
              <m:t>fter</m:t>
            </m:r>
            <m:r>
              <m:rPr>
                <m:sty m:val="p"/>
              </m:rPr>
              <w:rPr>
                <w:rFonts w:ascii="Cambria Math" w:eastAsia="Times New Roman"/>
                <w:sz w:val="30"/>
                <w:szCs w:val="26"/>
              </w:rPr>
              <m:t xml:space="preserve"> </m:t>
            </m:r>
            <m:r>
              <m:rPr>
                <m:sty m:val="p"/>
              </m:rPr>
              <w:rPr>
                <w:rFonts w:ascii="Cambria Math" w:eastAsia="Times New Roman" w:hAnsi="Cambria Math"/>
                <w:sz w:val="30"/>
                <w:szCs w:val="26"/>
              </w:rPr>
              <m:t>Tax</m:t>
            </m:r>
          </m:num>
          <m:den>
            <m:r>
              <m:rPr>
                <m:sty m:val="p"/>
              </m:rPr>
              <w:rPr>
                <w:rFonts w:ascii="Cambria Math" w:eastAsia="Times New Roman" w:hAnsi="Cambria Math"/>
                <w:sz w:val="30"/>
                <w:szCs w:val="26"/>
              </w:rPr>
              <m:t>Number</m:t>
            </m:r>
            <m:r>
              <m:rPr>
                <m:sty m:val="p"/>
              </m:rPr>
              <w:rPr>
                <w:rFonts w:ascii="Cambria Math" w:eastAsia="Times New Roman"/>
                <w:sz w:val="30"/>
                <w:szCs w:val="26"/>
              </w:rPr>
              <m:t xml:space="preserve"> </m:t>
            </m:r>
            <m:r>
              <m:rPr>
                <m:sty m:val="p"/>
              </m:rPr>
              <w:rPr>
                <w:rFonts w:ascii="Cambria Math" w:eastAsia="Times New Roman" w:hAnsi="Cambria Math"/>
                <w:sz w:val="30"/>
                <w:szCs w:val="26"/>
              </w:rPr>
              <m:t>of</m:t>
            </m:r>
            <m:r>
              <m:rPr>
                <m:sty m:val="p"/>
              </m:rPr>
              <w:rPr>
                <w:rFonts w:ascii="Cambria Math" w:eastAsia="Times New Roman"/>
                <w:sz w:val="30"/>
                <w:szCs w:val="26"/>
              </w:rPr>
              <m:t xml:space="preserve"> E</m:t>
            </m:r>
            <m:r>
              <m:rPr>
                <m:sty m:val="p"/>
              </m:rPr>
              <w:rPr>
                <w:rFonts w:ascii="Cambria Math" w:eastAsia="Times New Roman" w:hAnsi="Cambria Math"/>
                <w:sz w:val="30"/>
                <w:szCs w:val="26"/>
              </w:rPr>
              <m:t>mployee</m:t>
            </m:r>
          </m:den>
        </m:f>
        <m:r>
          <w:rPr>
            <w:rFonts w:ascii="Cambria Math" w:eastAsia="Times New Roman"/>
            <w:sz w:val="30"/>
            <w:szCs w:val="26"/>
          </w:rPr>
          <m:t xml:space="preserve"> </m:t>
        </m:r>
      </m:oMath>
      <w:r w:rsidRPr="00FD1AA2">
        <w:rPr>
          <w:rFonts w:ascii="Times New Roman" w:hAnsi="Times New Roman"/>
        </w:rPr>
        <w:t>× 100</w:t>
      </w:r>
      <w:r w:rsidRPr="00FD1AA2">
        <w:rPr>
          <w:rFonts w:ascii="Times New Roman" w:hAnsi="Times New Roman"/>
        </w:rPr>
        <w:tab/>
      </w:r>
      <w:r w:rsidRPr="00FD1AA2">
        <w:rPr>
          <w:rFonts w:ascii="Times New Roman" w:hAnsi="Times New Roman"/>
        </w:rPr>
        <w:tab/>
      </w:r>
    </w:p>
    <w:p w:rsidR="00DA4DD8" w:rsidRPr="00C91CAA" w:rsidRDefault="00C91CAA" w:rsidP="00FD1AA2">
      <w:pPr>
        <w:spacing w:after="240" w:line="360" w:lineRule="auto"/>
        <w:jc w:val="both"/>
        <w:rPr>
          <w:rFonts w:ascii="Times New Roman" w:hAnsi="Times New Roman"/>
          <w:b/>
          <w:sz w:val="28"/>
        </w:rPr>
      </w:pPr>
      <w:r>
        <w:rPr>
          <w:rFonts w:ascii="Times New Roman" w:hAnsi="Times New Roman"/>
          <w:b/>
          <w:sz w:val="28"/>
        </w:rPr>
        <w:t xml:space="preserve">3.7.1.4 </w:t>
      </w:r>
      <w:r w:rsidR="00DA4DD8" w:rsidRPr="00C91CAA">
        <w:rPr>
          <w:rFonts w:ascii="Times New Roman" w:hAnsi="Times New Roman"/>
          <w:b/>
          <w:sz w:val="28"/>
        </w:rPr>
        <w:t>Earning Quality</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Earning means excess of revenue over cost, so excess revenue earned by any organization in the course of operation is known as profit. It is the ultimate result of any business. Generally, if the earning is good then that business is running well. Similarly the aggregate performance of the bank reflects from its earning. Earning is the ultimate result of any business. Generally, higher earnings reflect better financial position. Similarly the aggregate performance of the bank reflects from its earnings.</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Earnings per Share (EPS) =</w:t>
      </w:r>
      <w:r w:rsidRPr="00FD1AA2">
        <w:rPr>
          <w:rFonts w:ascii="Times New Roman" w:hAnsi="Times New Roman"/>
        </w:rPr>
        <w:tab/>
      </w:r>
      <m:oMath>
        <m:f>
          <m:fPr>
            <m:ctrlPr>
              <w:rPr>
                <w:rFonts w:ascii="Cambria Math" w:eastAsia="Times New Roman" w:hAnsi="Cambria Math"/>
                <w:sz w:val="30"/>
                <w:szCs w:val="26"/>
              </w:rPr>
            </m:ctrlPr>
          </m:fPr>
          <m:num>
            <m:r>
              <m:rPr>
                <m:sty m:val="p"/>
              </m:rPr>
              <w:rPr>
                <w:rFonts w:ascii="Cambria Math" w:eastAsia="Times New Roman" w:hAnsi="Cambria Math"/>
                <w:sz w:val="30"/>
                <w:szCs w:val="26"/>
              </w:rPr>
              <m:t>Net</m:t>
            </m:r>
            <m:r>
              <m:rPr>
                <m:sty m:val="p"/>
              </m:rPr>
              <w:rPr>
                <w:rFonts w:ascii="Cambria Math" w:eastAsia="Times New Roman"/>
                <w:sz w:val="30"/>
                <w:szCs w:val="26"/>
              </w:rPr>
              <m:t xml:space="preserve"> </m:t>
            </m:r>
            <m:r>
              <m:rPr>
                <m:sty m:val="p"/>
              </m:rPr>
              <w:rPr>
                <w:rFonts w:ascii="Cambria Math" w:eastAsia="Times New Roman" w:hAnsi="Cambria Math"/>
                <w:sz w:val="30"/>
                <w:szCs w:val="26"/>
              </w:rPr>
              <m:t>Profit</m:t>
            </m:r>
            <m:r>
              <m:rPr>
                <m:sty m:val="p"/>
              </m:rPr>
              <w:rPr>
                <w:rFonts w:ascii="Cambria Math" w:eastAsia="Times New Roman"/>
                <w:sz w:val="30"/>
                <w:szCs w:val="26"/>
              </w:rPr>
              <m:t xml:space="preserve"> A</m:t>
            </m:r>
            <m:r>
              <m:rPr>
                <m:sty m:val="p"/>
              </m:rPr>
              <w:rPr>
                <w:rFonts w:ascii="Cambria Math" w:eastAsia="Times New Roman" w:hAnsi="Cambria Math"/>
                <w:sz w:val="30"/>
                <w:szCs w:val="26"/>
              </w:rPr>
              <m:t>fter</m:t>
            </m:r>
            <m:r>
              <m:rPr>
                <m:sty m:val="p"/>
              </m:rPr>
              <w:rPr>
                <w:rFonts w:ascii="Cambria Math" w:eastAsia="Times New Roman"/>
                <w:sz w:val="30"/>
                <w:szCs w:val="26"/>
              </w:rPr>
              <m:t xml:space="preserve"> </m:t>
            </m:r>
            <m:r>
              <m:rPr>
                <m:sty m:val="p"/>
              </m:rPr>
              <w:rPr>
                <w:rFonts w:ascii="Cambria Math" w:eastAsia="Times New Roman" w:hAnsi="Cambria Math"/>
                <w:sz w:val="30"/>
                <w:szCs w:val="26"/>
              </w:rPr>
              <m:t>Tax</m:t>
            </m:r>
          </m:num>
          <m:den>
            <m:r>
              <m:rPr>
                <m:sty m:val="p"/>
              </m:rPr>
              <w:rPr>
                <w:rFonts w:ascii="Cambria Math" w:eastAsia="Times New Roman" w:hAnsi="Cambria Math"/>
                <w:sz w:val="30"/>
                <w:szCs w:val="26"/>
              </w:rPr>
              <m:t>Number</m:t>
            </m:r>
            <m:r>
              <m:rPr>
                <m:sty m:val="p"/>
              </m:rPr>
              <w:rPr>
                <w:rFonts w:ascii="Cambria Math" w:eastAsia="Times New Roman"/>
                <w:sz w:val="30"/>
                <w:szCs w:val="26"/>
              </w:rPr>
              <m:t xml:space="preserve"> </m:t>
            </m:r>
            <m:r>
              <m:rPr>
                <m:sty m:val="p"/>
              </m:rPr>
              <w:rPr>
                <w:rFonts w:ascii="Cambria Math" w:eastAsia="Times New Roman" w:hAnsi="Cambria Math"/>
                <w:sz w:val="30"/>
                <w:szCs w:val="26"/>
              </w:rPr>
              <m:t>of</m:t>
            </m:r>
            <m:r>
              <m:rPr>
                <m:sty m:val="p"/>
              </m:rPr>
              <w:rPr>
                <w:rFonts w:ascii="Cambria Math" w:eastAsia="Times New Roman"/>
                <w:sz w:val="30"/>
                <w:szCs w:val="26"/>
              </w:rPr>
              <m:t xml:space="preserve"> </m:t>
            </m:r>
            <m:r>
              <m:rPr>
                <m:sty m:val="p"/>
              </m:rPr>
              <w:rPr>
                <w:rFonts w:ascii="Cambria Math" w:eastAsia="Times New Roman" w:hAnsi="Cambria Math"/>
                <w:sz w:val="30"/>
                <w:szCs w:val="26"/>
              </w:rPr>
              <m:t>Outstanding</m:t>
            </m:r>
            <m:r>
              <m:rPr>
                <m:sty m:val="p"/>
              </m:rPr>
              <w:rPr>
                <w:rFonts w:ascii="Cambria Math" w:eastAsia="Times New Roman"/>
                <w:sz w:val="30"/>
                <w:szCs w:val="26"/>
              </w:rPr>
              <m:t xml:space="preserve"> </m:t>
            </m:r>
            <m:r>
              <m:rPr>
                <m:sty m:val="p"/>
              </m:rPr>
              <w:rPr>
                <w:rFonts w:ascii="Cambria Math" w:eastAsia="Times New Roman" w:hAnsi="Cambria Math"/>
                <w:sz w:val="30"/>
                <w:szCs w:val="26"/>
              </w:rPr>
              <m:t>Shares</m:t>
            </m:r>
          </m:den>
        </m:f>
        <m:r>
          <w:rPr>
            <w:rFonts w:ascii="Cambria Math" w:eastAsia="Times New Roman"/>
            <w:sz w:val="30"/>
            <w:szCs w:val="26"/>
          </w:rPr>
          <m:t xml:space="preserve"> </m:t>
        </m:r>
      </m:oMath>
      <w:r w:rsidRPr="00FD1AA2">
        <w:rPr>
          <w:rFonts w:ascii="Times New Roman" w:hAnsi="Times New Roman"/>
        </w:rPr>
        <w:t>× 100</w:t>
      </w:r>
      <w:r w:rsidRPr="00FD1AA2">
        <w:rPr>
          <w:rFonts w:ascii="Times New Roman" w:hAnsi="Times New Roman"/>
        </w:rPr>
        <w:tab/>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Return on equity (ROE) =</w:t>
      </w:r>
      <w:r w:rsidRPr="00FD1AA2">
        <w:rPr>
          <w:rFonts w:ascii="Times New Roman" w:hAnsi="Times New Roman"/>
        </w:rPr>
        <w:tab/>
      </w:r>
      <m:oMath>
        <m:f>
          <m:fPr>
            <m:ctrlPr>
              <w:rPr>
                <w:rFonts w:ascii="Cambria Math" w:eastAsia="Times New Roman" w:hAnsi="Cambria Math"/>
                <w:sz w:val="30"/>
                <w:szCs w:val="26"/>
              </w:rPr>
            </m:ctrlPr>
          </m:fPr>
          <m:num>
            <m:r>
              <m:rPr>
                <m:sty m:val="p"/>
              </m:rPr>
              <w:rPr>
                <w:rFonts w:ascii="Cambria Math" w:eastAsia="Times New Roman" w:hAnsi="Cambria Math"/>
                <w:sz w:val="30"/>
                <w:szCs w:val="26"/>
              </w:rPr>
              <m:t>Net</m:t>
            </m:r>
            <m:r>
              <m:rPr>
                <m:sty m:val="p"/>
              </m:rPr>
              <w:rPr>
                <w:rFonts w:ascii="Cambria Math" w:eastAsia="Times New Roman"/>
                <w:sz w:val="30"/>
                <w:szCs w:val="26"/>
              </w:rPr>
              <m:t xml:space="preserve"> </m:t>
            </m:r>
            <m:r>
              <m:rPr>
                <m:sty m:val="p"/>
              </m:rPr>
              <w:rPr>
                <w:rFonts w:ascii="Cambria Math" w:eastAsia="Times New Roman" w:hAnsi="Cambria Math"/>
                <w:sz w:val="30"/>
                <w:szCs w:val="26"/>
              </w:rPr>
              <m:t>Profit</m:t>
            </m:r>
            <m:r>
              <m:rPr>
                <m:sty m:val="p"/>
              </m:rPr>
              <w:rPr>
                <w:rFonts w:ascii="Cambria Math" w:eastAsia="Times New Roman"/>
                <w:sz w:val="30"/>
                <w:szCs w:val="26"/>
              </w:rPr>
              <m:t xml:space="preserve"> </m:t>
            </m:r>
            <m:r>
              <m:rPr>
                <m:sty m:val="p"/>
              </m:rPr>
              <w:rPr>
                <w:rFonts w:ascii="Cambria Math" w:eastAsia="Times New Roman" w:hAnsi="Cambria Math"/>
                <w:sz w:val="30"/>
                <w:szCs w:val="26"/>
              </w:rPr>
              <m:t>After</m:t>
            </m:r>
            <m:r>
              <m:rPr>
                <m:sty m:val="p"/>
              </m:rPr>
              <w:rPr>
                <w:rFonts w:ascii="Cambria Math" w:eastAsia="Times New Roman"/>
                <w:sz w:val="30"/>
                <w:szCs w:val="26"/>
              </w:rPr>
              <m:t xml:space="preserve"> </m:t>
            </m:r>
            <m:r>
              <m:rPr>
                <m:sty m:val="p"/>
              </m:rPr>
              <w:rPr>
                <w:rFonts w:ascii="Cambria Math" w:eastAsia="Times New Roman" w:hAnsi="Cambria Math"/>
                <w:sz w:val="30"/>
                <w:szCs w:val="26"/>
              </w:rPr>
              <m:t>Tax</m:t>
            </m:r>
          </m:num>
          <m:den>
            <m:r>
              <m:rPr>
                <m:sty m:val="p"/>
              </m:rPr>
              <w:rPr>
                <w:rFonts w:ascii="Cambria Math" w:eastAsia="Times New Roman" w:hAnsi="Cambria Math"/>
                <w:sz w:val="30"/>
                <w:szCs w:val="26"/>
              </w:rPr>
              <m:t>Number</m:t>
            </m:r>
            <m:r>
              <m:rPr>
                <m:sty m:val="p"/>
              </m:rPr>
              <w:rPr>
                <w:rFonts w:ascii="Cambria Math" w:eastAsia="Times New Roman"/>
                <w:sz w:val="30"/>
                <w:szCs w:val="26"/>
              </w:rPr>
              <m:t xml:space="preserve"> </m:t>
            </m:r>
            <m:r>
              <m:rPr>
                <m:sty m:val="p"/>
              </m:rPr>
              <w:rPr>
                <w:rFonts w:ascii="Cambria Math" w:eastAsia="Times New Roman" w:hAnsi="Cambria Math"/>
                <w:sz w:val="30"/>
                <w:szCs w:val="26"/>
              </w:rPr>
              <m:t>of</m:t>
            </m:r>
            <m:r>
              <m:rPr>
                <m:sty m:val="p"/>
              </m:rPr>
              <w:rPr>
                <w:rFonts w:ascii="Cambria Math" w:eastAsia="Times New Roman"/>
                <w:sz w:val="30"/>
                <w:szCs w:val="26"/>
              </w:rPr>
              <m:t xml:space="preserve"> </m:t>
            </m:r>
            <m:r>
              <m:rPr>
                <m:sty m:val="p"/>
              </m:rPr>
              <w:rPr>
                <w:rFonts w:ascii="Cambria Math" w:eastAsia="Times New Roman" w:hAnsi="Cambria Math"/>
                <w:sz w:val="30"/>
                <w:szCs w:val="26"/>
              </w:rPr>
              <m:t>Shareholders</m:t>
            </m:r>
            <m:r>
              <m:rPr>
                <m:sty m:val="p"/>
              </m:rPr>
              <w:rPr>
                <w:rFonts w:ascii="Cambria Math" w:eastAsia="Times New Roman"/>
                <w:sz w:val="30"/>
                <w:szCs w:val="26"/>
              </w:rPr>
              <m:t xml:space="preserve"> </m:t>
            </m:r>
            <m:r>
              <m:rPr>
                <m:sty m:val="p"/>
              </m:rPr>
              <w:rPr>
                <w:rFonts w:ascii="Cambria Math" w:eastAsia="Times New Roman" w:hAnsi="Cambria Math"/>
                <w:sz w:val="30"/>
                <w:szCs w:val="26"/>
              </w:rPr>
              <m:t>Fund</m:t>
            </m:r>
          </m:den>
        </m:f>
        <m:r>
          <w:rPr>
            <w:rFonts w:ascii="Cambria Math" w:eastAsia="Times New Roman"/>
            <w:sz w:val="30"/>
            <w:szCs w:val="26"/>
          </w:rPr>
          <m:t xml:space="preserve"> </m:t>
        </m:r>
      </m:oMath>
      <w:r w:rsidRPr="00FD1AA2">
        <w:rPr>
          <w:rFonts w:ascii="Times New Roman" w:hAnsi="Times New Roman"/>
        </w:rPr>
        <w:t>×100</w:t>
      </w:r>
      <w:r w:rsidRPr="00FD1AA2">
        <w:rPr>
          <w:rFonts w:ascii="Times New Roman" w:hAnsi="Times New Roman"/>
        </w:rPr>
        <w:tab/>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Return on Assets (ROA) =</w:t>
      </w:r>
      <w:r w:rsidRPr="00FD1AA2">
        <w:rPr>
          <w:rFonts w:ascii="Times New Roman" w:hAnsi="Times New Roman"/>
        </w:rPr>
        <w:tab/>
      </w:r>
      <m:oMath>
        <m:f>
          <m:fPr>
            <m:ctrlPr>
              <w:rPr>
                <w:rFonts w:ascii="Cambria Math" w:eastAsia="Times New Roman" w:hAnsi="Cambria Math"/>
                <w:sz w:val="30"/>
                <w:szCs w:val="26"/>
              </w:rPr>
            </m:ctrlPr>
          </m:fPr>
          <m:num>
            <m:r>
              <m:rPr>
                <m:sty m:val="p"/>
              </m:rPr>
              <w:rPr>
                <w:rFonts w:ascii="Cambria Math" w:eastAsia="Times New Roman" w:hAnsi="Cambria Math"/>
                <w:sz w:val="30"/>
                <w:szCs w:val="26"/>
              </w:rPr>
              <m:t>Net</m:t>
            </m:r>
            <m:r>
              <m:rPr>
                <m:sty m:val="p"/>
              </m:rPr>
              <w:rPr>
                <w:rFonts w:ascii="Cambria Math" w:eastAsia="Times New Roman"/>
                <w:sz w:val="30"/>
                <w:szCs w:val="26"/>
              </w:rPr>
              <m:t xml:space="preserve"> </m:t>
            </m:r>
            <m:r>
              <m:rPr>
                <m:sty m:val="p"/>
              </m:rPr>
              <w:rPr>
                <w:rFonts w:ascii="Cambria Math" w:eastAsia="Times New Roman" w:hAnsi="Cambria Math"/>
                <w:sz w:val="30"/>
                <w:szCs w:val="26"/>
              </w:rPr>
              <m:t>Profit</m:t>
            </m:r>
            <m:r>
              <m:rPr>
                <m:sty m:val="p"/>
              </m:rPr>
              <w:rPr>
                <w:rFonts w:ascii="Cambria Math" w:eastAsia="Times New Roman"/>
                <w:sz w:val="30"/>
                <w:szCs w:val="26"/>
              </w:rPr>
              <m:t xml:space="preserve"> A</m:t>
            </m:r>
            <m:r>
              <m:rPr>
                <m:sty m:val="p"/>
              </m:rPr>
              <w:rPr>
                <w:rFonts w:ascii="Cambria Math" w:eastAsia="Times New Roman" w:hAnsi="Cambria Math"/>
                <w:sz w:val="30"/>
                <w:szCs w:val="26"/>
              </w:rPr>
              <m:t>fter</m:t>
            </m:r>
            <m:r>
              <m:rPr>
                <m:sty m:val="p"/>
              </m:rPr>
              <w:rPr>
                <w:rFonts w:ascii="Cambria Math" w:eastAsia="Times New Roman"/>
                <w:sz w:val="30"/>
                <w:szCs w:val="26"/>
              </w:rPr>
              <m:t xml:space="preserve"> </m:t>
            </m:r>
            <m:r>
              <m:rPr>
                <m:sty m:val="p"/>
              </m:rPr>
              <w:rPr>
                <w:rFonts w:ascii="Cambria Math" w:eastAsia="Times New Roman" w:hAnsi="Cambria Math"/>
                <w:sz w:val="30"/>
                <w:szCs w:val="26"/>
              </w:rPr>
              <m:t>Tax</m:t>
            </m:r>
          </m:num>
          <m:den>
            <m:r>
              <m:rPr>
                <m:sty m:val="p"/>
              </m:rPr>
              <w:rPr>
                <w:rFonts w:ascii="Cambria Math" w:eastAsia="Times New Roman" w:hAnsi="Cambria Math"/>
                <w:sz w:val="30"/>
                <w:szCs w:val="26"/>
              </w:rPr>
              <m:t>Total</m:t>
            </m:r>
            <m:r>
              <m:rPr>
                <m:sty m:val="p"/>
              </m:rPr>
              <w:rPr>
                <w:rFonts w:ascii="Cambria Math" w:eastAsia="Times New Roman"/>
                <w:sz w:val="30"/>
                <w:szCs w:val="26"/>
              </w:rPr>
              <m:t xml:space="preserve"> </m:t>
            </m:r>
            <m:r>
              <m:rPr>
                <m:sty m:val="p"/>
              </m:rPr>
              <w:rPr>
                <w:rFonts w:ascii="Cambria Math" w:eastAsia="Times New Roman" w:hAnsi="Cambria Math"/>
                <w:sz w:val="30"/>
                <w:szCs w:val="26"/>
              </w:rPr>
              <m:t>Assets</m:t>
            </m:r>
          </m:den>
        </m:f>
        <m:r>
          <w:rPr>
            <w:rFonts w:ascii="Cambria Math" w:eastAsia="Times New Roman"/>
            <w:sz w:val="30"/>
            <w:szCs w:val="26"/>
          </w:rPr>
          <m:t xml:space="preserve"> </m:t>
        </m:r>
      </m:oMath>
      <w:r w:rsidRPr="00FD1AA2">
        <w:rPr>
          <w:rFonts w:ascii="Times New Roman" w:hAnsi="Times New Roman"/>
        </w:rPr>
        <w:t>× 100</w:t>
      </w:r>
      <w:r w:rsidRPr="00FD1AA2">
        <w:rPr>
          <w:rFonts w:ascii="Times New Roman" w:hAnsi="Times New Roman"/>
        </w:rPr>
        <w:tab/>
      </w:r>
    </w:p>
    <w:p w:rsidR="00DA4DD8" w:rsidRPr="00C91CAA" w:rsidRDefault="00DA4DD8" w:rsidP="00FD1AA2">
      <w:pPr>
        <w:spacing w:after="240" w:line="360" w:lineRule="auto"/>
        <w:jc w:val="both"/>
        <w:rPr>
          <w:rFonts w:ascii="Times New Roman" w:hAnsi="Times New Roman"/>
          <w:b/>
          <w:sz w:val="28"/>
        </w:rPr>
      </w:pPr>
      <w:r w:rsidRPr="00C91CAA">
        <w:rPr>
          <w:rFonts w:ascii="Times New Roman" w:hAnsi="Times New Roman"/>
          <w:b/>
          <w:sz w:val="28"/>
        </w:rPr>
        <w:t>3.7.1.5</w:t>
      </w:r>
      <w:r w:rsidR="00C91CAA">
        <w:rPr>
          <w:rFonts w:ascii="Times New Roman" w:hAnsi="Times New Roman"/>
          <w:b/>
          <w:sz w:val="28"/>
        </w:rPr>
        <w:t xml:space="preserve"> </w:t>
      </w:r>
      <w:r w:rsidRPr="00C91CAA">
        <w:rPr>
          <w:rFonts w:ascii="Times New Roman" w:hAnsi="Times New Roman"/>
          <w:b/>
          <w:sz w:val="28"/>
        </w:rPr>
        <w:t>Liquidity</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 xml:space="preserve">Liquidity is the state of owing things of value that can easily be exchanged for cash. Liquidity is the term which denotes the ability of an organization to meet its financial </w:t>
      </w:r>
      <w:r w:rsidRPr="00FD1AA2">
        <w:rPr>
          <w:rFonts w:ascii="Times New Roman" w:hAnsi="Times New Roman"/>
        </w:rPr>
        <w:lastRenderedPageBreak/>
        <w:t>obligation or debts in cash in time. Such an organization has assets which can be converted into cash and without any loss at their conversion through the maintenance of certain reserves and provision. Liquidity reflects the term financial strength of the banks. Banks does not provide all its deposit at loans and advances, but certain percentage is kept as liquidity in the bank itself or elsewhere.</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Basically bank measures liquidity through three methods. They are as follow:</w:t>
      </w:r>
    </w:p>
    <w:p w:rsidR="00DA4DD8" w:rsidRPr="00FD1AA2" w:rsidRDefault="00DA4DD8" w:rsidP="00FD1AA2">
      <w:pPr>
        <w:pStyle w:val="ListParagraph"/>
        <w:numPr>
          <w:ilvl w:val="0"/>
          <w:numId w:val="30"/>
        </w:numPr>
        <w:spacing w:after="240" w:line="360" w:lineRule="auto"/>
        <w:ind w:left="360"/>
        <w:jc w:val="both"/>
        <w:rPr>
          <w:rFonts w:ascii="Times New Roman" w:hAnsi="Times New Roman"/>
          <w:b/>
        </w:rPr>
      </w:pPr>
      <w:r w:rsidRPr="00FD1AA2">
        <w:rPr>
          <w:rFonts w:ascii="Times New Roman" w:hAnsi="Times New Roman"/>
          <w:b/>
        </w:rPr>
        <w:t xml:space="preserve">NRB Balance to Total Deposits Ratio </w:t>
      </w:r>
    </w:p>
    <w:p w:rsidR="00DA4DD8" w:rsidRPr="00FD1AA2" w:rsidRDefault="00DA4DD8" w:rsidP="00FD1AA2">
      <w:pPr>
        <w:pStyle w:val="ListParagraph"/>
        <w:spacing w:after="240" w:line="360" w:lineRule="auto"/>
        <w:ind w:left="360"/>
        <w:jc w:val="both"/>
        <w:rPr>
          <w:rFonts w:ascii="Times New Roman" w:hAnsi="Times New Roman"/>
        </w:rPr>
      </w:pPr>
      <w:r w:rsidRPr="00FD1AA2">
        <w:rPr>
          <w:rFonts w:ascii="Times New Roman" w:hAnsi="Times New Roman"/>
        </w:rPr>
        <w:t xml:space="preserve">NRB balance to total deposits ratio is the expression of numerical relationship between NRB balance and total deposits of bank. It measures the proportion of NRB Balance in total deposits. It shows whether a bank is holding the balance as required by Nepal Rastra Bank. It is calculated by using following formula. </w:t>
      </w:r>
    </w:p>
    <w:p w:rsidR="00DA4DD8" w:rsidRPr="00FD1AA2" w:rsidRDefault="00DA4DD8" w:rsidP="00FD1AA2">
      <w:pPr>
        <w:pStyle w:val="ListParagraph"/>
        <w:spacing w:after="240" w:line="360" w:lineRule="auto"/>
        <w:ind w:left="360"/>
        <w:jc w:val="both"/>
        <w:rPr>
          <w:rFonts w:ascii="Times New Roman" w:hAnsi="Times New Roman"/>
        </w:rPr>
      </w:pPr>
    </w:p>
    <w:p w:rsidR="00DA4DD8" w:rsidRPr="00FD1AA2" w:rsidRDefault="00DA4DD8" w:rsidP="00FD1AA2">
      <w:pPr>
        <w:pStyle w:val="ListParagraph"/>
        <w:spacing w:after="240" w:line="360" w:lineRule="auto"/>
        <w:ind w:left="360"/>
        <w:jc w:val="both"/>
        <w:rPr>
          <w:rFonts w:ascii="Times New Roman" w:hAnsi="Times New Roman"/>
        </w:rPr>
      </w:pPr>
      <w:r w:rsidRPr="00FD1AA2">
        <w:rPr>
          <w:rFonts w:ascii="Times New Roman" w:hAnsi="Times New Roman"/>
        </w:rPr>
        <w:t xml:space="preserve">NRB Balance to Total Deposits Ratio </w:t>
      </w:r>
    </w:p>
    <w:p w:rsidR="00DA4DD8" w:rsidRPr="00FD1AA2" w:rsidRDefault="00DA4DD8" w:rsidP="00FD1AA2">
      <w:pPr>
        <w:pStyle w:val="ListParagraph"/>
        <w:spacing w:after="240" w:line="360" w:lineRule="auto"/>
        <w:ind w:left="360"/>
        <w:jc w:val="both"/>
        <w:rPr>
          <w:rFonts w:ascii="Times New Roman" w:hAnsi="Times New Roman"/>
        </w:rPr>
      </w:pPr>
      <w:r w:rsidRPr="00FD1AA2">
        <w:rPr>
          <w:rFonts w:ascii="Times New Roman" w:hAnsi="Times New Roman"/>
        </w:rPr>
        <w:tab/>
        <w:t xml:space="preserve">= </w:t>
      </w:r>
      <m:oMath>
        <m:f>
          <m:fPr>
            <m:ctrlPr>
              <w:rPr>
                <w:rFonts w:ascii="Cambria Math" w:eastAsia="Times New Roman" w:hAnsi="Cambria Math"/>
                <w:sz w:val="30"/>
                <w:szCs w:val="30"/>
              </w:rPr>
            </m:ctrlPr>
          </m:fPr>
          <m:num>
            <m:r>
              <m:rPr>
                <m:sty m:val="p"/>
              </m:rPr>
              <w:rPr>
                <w:rFonts w:ascii="Cambria Math" w:eastAsia="Times New Roman" w:hAnsi="Cambria Math"/>
                <w:sz w:val="30"/>
                <w:szCs w:val="30"/>
              </w:rPr>
              <m:t>NRB Balance</m:t>
            </m:r>
          </m:num>
          <m:den>
            <m:r>
              <m:rPr>
                <m:sty m:val="p"/>
              </m:rPr>
              <w:rPr>
                <w:rFonts w:ascii="Cambria Math" w:eastAsia="Times New Roman"/>
                <w:sz w:val="30"/>
                <w:szCs w:val="30"/>
              </w:rPr>
              <m:t>Total Deposit</m:t>
            </m:r>
          </m:den>
        </m:f>
        <m:r>
          <w:rPr>
            <w:rFonts w:ascii="Cambria Math" w:eastAsia="Times New Roman"/>
            <w:sz w:val="30"/>
            <w:szCs w:val="30"/>
          </w:rPr>
          <m:t xml:space="preserve"> </m:t>
        </m:r>
      </m:oMath>
      <w:r w:rsidRPr="00FD1AA2">
        <w:rPr>
          <w:rFonts w:ascii="Times New Roman" w:hAnsi="Times New Roman"/>
        </w:rPr>
        <w:t>× 100</w:t>
      </w:r>
    </w:p>
    <w:p w:rsidR="00DA4DD8" w:rsidRPr="00FD1AA2" w:rsidRDefault="00DA4DD8" w:rsidP="00FD1AA2">
      <w:pPr>
        <w:pStyle w:val="ListParagraph"/>
        <w:numPr>
          <w:ilvl w:val="0"/>
          <w:numId w:val="30"/>
        </w:numPr>
        <w:spacing w:after="240" w:line="360" w:lineRule="auto"/>
        <w:ind w:left="360"/>
        <w:jc w:val="both"/>
        <w:rPr>
          <w:rFonts w:ascii="Times New Roman" w:hAnsi="Times New Roman"/>
          <w:b/>
        </w:rPr>
      </w:pPr>
      <w:r w:rsidRPr="00FD1AA2">
        <w:rPr>
          <w:rFonts w:ascii="Times New Roman" w:hAnsi="Times New Roman"/>
          <w:b/>
        </w:rPr>
        <w:t>Cash and Bank Balance Ratio (CBR)</w:t>
      </w:r>
    </w:p>
    <w:p w:rsidR="00DA4DD8" w:rsidRPr="00FD1AA2" w:rsidRDefault="00DA4DD8" w:rsidP="00FD1AA2">
      <w:pPr>
        <w:pStyle w:val="ListParagraph"/>
        <w:spacing w:after="240" w:line="360" w:lineRule="auto"/>
        <w:ind w:left="360"/>
        <w:jc w:val="both"/>
        <w:rPr>
          <w:rFonts w:ascii="Times New Roman" w:hAnsi="Times New Roman"/>
        </w:rPr>
      </w:pPr>
      <w:r w:rsidRPr="00FD1AA2">
        <w:rPr>
          <w:rFonts w:ascii="Times New Roman" w:hAnsi="Times New Roman"/>
        </w:rPr>
        <w:t>The ratio measures the bank ability to meet immediate obligation. So, balance should maintain in order to meet their paying obligation. Further, this ratio is employed to measures whether bank's cash balance is sufficient to cover unexpected demand made by the depositors. It is calculated as follows:</w:t>
      </w:r>
    </w:p>
    <w:p w:rsidR="00DA4DD8" w:rsidRPr="00FD1AA2" w:rsidRDefault="00DA4DD8" w:rsidP="00FD1AA2">
      <w:pPr>
        <w:pStyle w:val="ListParagraph"/>
        <w:spacing w:after="240" w:line="360" w:lineRule="auto"/>
        <w:ind w:left="1170"/>
        <w:jc w:val="both"/>
        <w:rPr>
          <w:rFonts w:ascii="Times New Roman" w:hAnsi="Times New Roman"/>
        </w:rPr>
      </w:pPr>
    </w:p>
    <w:p w:rsidR="00DA4DD8" w:rsidRPr="00FD1AA2" w:rsidRDefault="00DA4DD8" w:rsidP="00FD1AA2">
      <w:pPr>
        <w:pStyle w:val="ListParagraph"/>
        <w:spacing w:after="240" w:line="360" w:lineRule="auto"/>
        <w:ind w:left="1170"/>
        <w:jc w:val="both"/>
        <w:rPr>
          <w:rFonts w:ascii="Times New Roman" w:hAnsi="Times New Roman"/>
        </w:rPr>
      </w:pPr>
      <w:r w:rsidRPr="00FD1AA2">
        <w:rPr>
          <w:rFonts w:ascii="Times New Roman" w:hAnsi="Times New Roman"/>
        </w:rPr>
        <w:t>Cash &amp; Bank Balance Ratio =</w:t>
      </w:r>
      <w:r w:rsidRPr="00FD1AA2">
        <w:rPr>
          <w:rFonts w:ascii="Times New Roman" w:hAnsi="Times New Roman"/>
          <w:sz w:val="30"/>
          <w:szCs w:val="30"/>
        </w:rPr>
        <w:t xml:space="preserve"> </w:t>
      </w:r>
      <m:oMath>
        <m:f>
          <m:fPr>
            <m:ctrlPr>
              <w:rPr>
                <w:rFonts w:ascii="Cambria Math" w:eastAsia="Times New Roman" w:hAnsi="Cambria Math"/>
                <w:sz w:val="30"/>
                <w:szCs w:val="30"/>
              </w:rPr>
            </m:ctrlPr>
          </m:fPr>
          <m:num>
            <m:r>
              <m:rPr>
                <m:sty m:val="p"/>
              </m:rPr>
              <w:rPr>
                <w:rFonts w:ascii="Cambria Math" w:eastAsia="Times New Roman" w:hAnsi="Cambria Math"/>
                <w:sz w:val="30"/>
                <w:szCs w:val="30"/>
              </w:rPr>
              <m:t>Cash</m:t>
            </m:r>
            <m:r>
              <m:rPr>
                <m:sty m:val="p"/>
              </m:rPr>
              <w:rPr>
                <w:rFonts w:ascii="Cambria Math" w:eastAsia="Times New Roman"/>
                <w:sz w:val="30"/>
                <w:szCs w:val="30"/>
              </w:rPr>
              <m:t xml:space="preserve"> </m:t>
            </m:r>
            <m:r>
              <m:rPr>
                <m:sty m:val="p"/>
              </m:rPr>
              <w:rPr>
                <w:rFonts w:ascii="Cambria Math" w:eastAsia="Times New Roman" w:hAnsi="Cambria Math"/>
                <w:sz w:val="30"/>
                <w:szCs w:val="30"/>
              </w:rPr>
              <m:t>and</m:t>
            </m:r>
            <m:r>
              <m:rPr>
                <m:sty m:val="p"/>
              </m:rPr>
              <w:rPr>
                <w:rFonts w:ascii="Cambria Math" w:eastAsia="Times New Roman"/>
                <w:sz w:val="30"/>
                <w:szCs w:val="30"/>
              </w:rPr>
              <m:t xml:space="preserve"> </m:t>
            </m:r>
            <m:r>
              <m:rPr>
                <m:sty m:val="p"/>
              </m:rPr>
              <w:rPr>
                <w:rFonts w:ascii="Cambria Math" w:eastAsia="Times New Roman" w:hAnsi="Cambria Math"/>
                <w:sz w:val="30"/>
                <w:szCs w:val="30"/>
              </w:rPr>
              <m:t>Bank</m:t>
            </m:r>
            <m:r>
              <m:rPr>
                <m:sty m:val="p"/>
              </m:rPr>
              <w:rPr>
                <w:rFonts w:ascii="Cambria Math" w:eastAsia="Times New Roman"/>
                <w:sz w:val="30"/>
                <w:szCs w:val="30"/>
              </w:rPr>
              <m:t xml:space="preserve"> </m:t>
            </m:r>
            <m:r>
              <m:rPr>
                <m:sty m:val="p"/>
              </m:rPr>
              <w:rPr>
                <w:rFonts w:ascii="Cambria Math" w:eastAsia="Times New Roman" w:hAnsi="Cambria Math"/>
                <w:sz w:val="30"/>
                <w:szCs w:val="30"/>
              </w:rPr>
              <m:t>Balance</m:t>
            </m:r>
          </m:num>
          <m:den>
            <m:r>
              <m:rPr>
                <m:sty m:val="p"/>
              </m:rPr>
              <w:rPr>
                <w:rFonts w:ascii="Cambria Math" w:eastAsia="Times New Roman" w:hAnsi="Cambria Math"/>
                <w:sz w:val="30"/>
                <w:szCs w:val="30"/>
              </w:rPr>
              <m:t>Total</m:t>
            </m:r>
            <m:r>
              <m:rPr>
                <m:sty m:val="p"/>
              </m:rPr>
              <w:rPr>
                <w:rFonts w:ascii="Cambria Math" w:eastAsia="Times New Roman"/>
                <w:sz w:val="30"/>
                <w:szCs w:val="30"/>
              </w:rPr>
              <m:t xml:space="preserve"> </m:t>
            </m:r>
            <m:r>
              <m:rPr>
                <m:sty m:val="p"/>
              </m:rPr>
              <w:rPr>
                <w:rFonts w:ascii="Cambria Math" w:eastAsia="Times New Roman" w:hAnsi="Cambria Math"/>
                <w:sz w:val="30"/>
                <w:szCs w:val="30"/>
              </w:rPr>
              <m:t>Deposit</m:t>
            </m:r>
          </m:den>
        </m:f>
        <m:r>
          <w:rPr>
            <w:rFonts w:ascii="Cambria Math" w:eastAsia="Times New Roman"/>
            <w:sz w:val="30"/>
            <w:szCs w:val="30"/>
          </w:rPr>
          <m:t xml:space="preserve"> </m:t>
        </m:r>
      </m:oMath>
      <w:r w:rsidRPr="00FD1AA2">
        <w:rPr>
          <w:rFonts w:ascii="Times New Roman" w:hAnsi="Times New Roman"/>
        </w:rPr>
        <w:t>×100</w:t>
      </w:r>
      <w:r w:rsidRPr="00FD1AA2">
        <w:rPr>
          <w:rFonts w:ascii="Times New Roman" w:hAnsi="Times New Roman"/>
        </w:rPr>
        <w:tab/>
      </w:r>
    </w:p>
    <w:p w:rsidR="00DA4DD8" w:rsidRPr="00FD1AA2" w:rsidRDefault="00DA4DD8" w:rsidP="00FD1AA2">
      <w:pPr>
        <w:pStyle w:val="ListParagraph"/>
        <w:spacing w:after="240" w:line="360" w:lineRule="auto"/>
        <w:ind w:left="1170"/>
        <w:jc w:val="both"/>
        <w:rPr>
          <w:rFonts w:ascii="Times New Roman" w:hAnsi="Times New Roman"/>
        </w:rPr>
      </w:pPr>
    </w:p>
    <w:p w:rsidR="00DA4DD8" w:rsidRPr="00FD1AA2" w:rsidRDefault="00DA4DD8" w:rsidP="00FD1AA2">
      <w:pPr>
        <w:pStyle w:val="ListParagraph"/>
        <w:numPr>
          <w:ilvl w:val="0"/>
          <w:numId w:val="30"/>
        </w:numPr>
        <w:spacing w:after="240" w:line="360" w:lineRule="auto"/>
        <w:ind w:left="360"/>
        <w:jc w:val="both"/>
        <w:rPr>
          <w:rFonts w:ascii="Times New Roman" w:hAnsi="Times New Roman"/>
          <w:b/>
        </w:rPr>
      </w:pPr>
      <w:r w:rsidRPr="00FD1AA2">
        <w:rPr>
          <w:rFonts w:ascii="Times New Roman" w:hAnsi="Times New Roman"/>
          <w:b/>
        </w:rPr>
        <w:t>Investment in Government Security Ratio (IGSR)</w:t>
      </w:r>
    </w:p>
    <w:p w:rsidR="00DA4DD8" w:rsidRPr="00FD1AA2" w:rsidRDefault="00DA4DD8" w:rsidP="00FD1AA2">
      <w:pPr>
        <w:pStyle w:val="ListParagraph"/>
        <w:spacing w:after="240" w:line="360" w:lineRule="auto"/>
        <w:ind w:left="360"/>
        <w:jc w:val="both"/>
        <w:rPr>
          <w:rFonts w:ascii="Times New Roman" w:hAnsi="Times New Roman"/>
        </w:rPr>
      </w:pPr>
      <w:r w:rsidRPr="00FD1AA2">
        <w:rPr>
          <w:rFonts w:ascii="Times New Roman" w:hAnsi="Times New Roman"/>
        </w:rPr>
        <w:t>Government securities are known as risk free assets, which is easily converted into cash to meet the short term obligation. That's why every commercial bank has to invest their certain amount in government securities. This ratio calculated as follows:</w:t>
      </w:r>
    </w:p>
    <w:p w:rsidR="00DA4DD8" w:rsidRPr="00FD1AA2" w:rsidRDefault="00DA4DD8" w:rsidP="00FD1AA2">
      <w:pPr>
        <w:pStyle w:val="ListParagraph"/>
        <w:spacing w:after="240" w:line="360" w:lineRule="auto"/>
        <w:ind w:left="0"/>
        <w:jc w:val="both"/>
        <w:rPr>
          <w:rFonts w:ascii="Times New Roman" w:hAnsi="Times New Roman"/>
        </w:rPr>
      </w:pPr>
      <w:r w:rsidRPr="00FD1AA2">
        <w:rPr>
          <w:rFonts w:ascii="Times New Roman" w:hAnsi="Times New Roman"/>
        </w:rPr>
        <w:t xml:space="preserve">     Investment in Government Security Ratio = </w:t>
      </w:r>
      <m:oMath>
        <m:f>
          <m:fPr>
            <m:ctrlPr>
              <w:rPr>
                <w:rFonts w:ascii="Cambria Math" w:eastAsia="Times New Roman" w:hAnsi="Cambria Math"/>
                <w:sz w:val="30"/>
                <w:szCs w:val="30"/>
              </w:rPr>
            </m:ctrlPr>
          </m:fPr>
          <m:num>
            <m:r>
              <m:rPr>
                <m:sty m:val="p"/>
              </m:rPr>
              <w:rPr>
                <w:rFonts w:ascii="Cambria Math" w:eastAsia="Times New Roman" w:hAnsi="Cambria Math"/>
                <w:sz w:val="30"/>
                <w:szCs w:val="30"/>
              </w:rPr>
              <m:t>Investment</m:t>
            </m:r>
            <m:r>
              <m:rPr>
                <m:sty m:val="p"/>
              </m:rPr>
              <w:rPr>
                <w:rFonts w:ascii="Cambria Math" w:eastAsia="Times New Roman"/>
                <w:sz w:val="30"/>
                <w:szCs w:val="30"/>
              </w:rPr>
              <m:t xml:space="preserve"> </m:t>
            </m:r>
            <m:r>
              <m:rPr>
                <m:sty m:val="p"/>
              </m:rPr>
              <w:rPr>
                <w:rFonts w:ascii="Cambria Math" w:eastAsia="Times New Roman" w:hAnsi="Cambria Math"/>
                <w:sz w:val="30"/>
                <w:szCs w:val="30"/>
              </w:rPr>
              <m:t>in</m:t>
            </m:r>
            <m:r>
              <m:rPr>
                <m:sty m:val="p"/>
              </m:rPr>
              <w:rPr>
                <w:rFonts w:ascii="Cambria Math" w:eastAsia="Times New Roman"/>
                <w:sz w:val="30"/>
                <w:szCs w:val="30"/>
              </w:rPr>
              <m:t xml:space="preserve"> </m:t>
            </m:r>
            <m:r>
              <m:rPr>
                <m:sty m:val="p"/>
              </m:rPr>
              <w:rPr>
                <w:rFonts w:ascii="Cambria Math" w:eastAsia="Times New Roman" w:hAnsi="Cambria Math"/>
                <w:sz w:val="30"/>
                <w:szCs w:val="30"/>
              </w:rPr>
              <m:t>Govt</m:t>
            </m:r>
            <m:r>
              <m:rPr>
                <m:sty m:val="p"/>
              </m:rPr>
              <w:rPr>
                <w:rFonts w:ascii="Cambria Math" w:eastAsia="Times New Roman"/>
                <w:sz w:val="30"/>
                <w:szCs w:val="30"/>
              </w:rPr>
              <m:t>.</m:t>
            </m:r>
            <m:r>
              <m:rPr>
                <m:sty m:val="p"/>
              </m:rPr>
              <w:rPr>
                <w:rFonts w:ascii="Cambria Math" w:eastAsia="Times New Roman" w:hAnsi="Cambria Math"/>
                <w:sz w:val="30"/>
                <w:szCs w:val="30"/>
              </w:rPr>
              <m:t>Security</m:t>
            </m:r>
          </m:num>
          <m:den>
            <m:r>
              <m:rPr>
                <m:sty m:val="p"/>
              </m:rPr>
              <w:rPr>
                <w:rFonts w:ascii="Cambria Math" w:eastAsia="Times New Roman" w:hAnsi="Cambria Math"/>
                <w:sz w:val="30"/>
                <w:szCs w:val="30"/>
              </w:rPr>
              <m:t>Total</m:t>
            </m:r>
            <m:r>
              <m:rPr>
                <m:sty m:val="p"/>
              </m:rPr>
              <w:rPr>
                <w:rFonts w:ascii="Cambria Math" w:eastAsia="Times New Roman"/>
                <w:sz w:val="30"/>
                <w:szCs w:val="30"/>
              </w:rPr>
              <m:t xml:space="preserve"> </m:t>
            </m:r>
            <m:r>
              <m:rPr>
                <m:sty m:val="p"/>
              </m:rPr>
              <w:rPr>
                <w:rFonts w:ascii="Cambria Math" w:eastAsia="Times New Roman" w:hAnsi="Cambria Math"/>
                <w:sz w:val="30"/>
                <w:szCs w:val="30"/>
              </w:rPr>
              <m:t>Deposit</m:t>
            </m:r>
          </m:den>
        </m:f>
        <m:r>
          <m:rPr>
            <m:sty m:val="p"/>
          </m:rPr>
          <w:rPr>
            <w:rFonts w:ascii="Cambria Math" w:eastAsia="Times New Roman"/>
            <w:sz w:val="30"/>
            <w:szCs w:val="30"/>
          </w:rPr>
          <m:t xml:space="preserve"> </m:t>
        </m:r>
      </m:oMath>
      <w:r w:rsidRPr="00FD1AA2">
        <w:rPr>
          <w:rFonts w:ascii="Times New Roman" w:hAnsi="Times New Roman"/>
        </w:rPr>
        <w:t>× 100</w:t>
      </w:r>
      <w:r w:rsidRPr="00FD1AA2">
        <w:rPr>
          <w:rFonts w:ascii="Times New Roman" w:hAnsi="Times New Roman"/>
        </w:rPr>
        <w:tab/>
      </w:r>
    </w:p>
    <w:p w:rsidR="00DA4DD8" w:rsidRPr="000B7A8A" w:rsidRDefault="00DA4DD8" w:rsidP="00FD1AA2">
      <w:pPr>
        <w:pStyle w:val="ListParagraph"/>
        <w:spacing w:after="240" w:line="360" w:lineRule="auto"/>
        <w:ind w:left="0"/>
        <w:jc w:val="both"/>
        <w:rPr>
          <w:rFonts w:ascii="Times New Roman" w:hAnsi="Times New Roman"/>
          <w:sz w:val="28"/>
        </w:rPr>
      </w:pPr>
      <w:r w:rsidRPr="000B7A8A">
        <w:rPr>
          <w:rFonts w:ascii="Times New Roman" w:hAnsi="Times New Roman"/>
          <w:b/>
          <w:sz w:val="28"/>
        </w:rPr>
        <w:lastRenderedPageBreak/>
        <w:t>3.7.2</w:t>
      </w:r>
      <w:r w:rsidRPr="000B7A8A">
        <w:rPr>
          <w:rFonts w:ascii="Times New Roman" w:hAnsi="Times New Roman"/>
          <w:b/>
          <w:sz w:val="28"/>
        </w:rPr>
        <w:tab/>
        <w:t>Statistical Tools</w:t>
      </w:r>
    </w:p>
    <w:p w:rsidR="00DA4DD8" w:rsidRPr="00FD1AA2" w:rsidRDefault="00DA4DD8" w:rsidP="00FD1AA2">
      <w:pPr>
        <w:pStyle w:val="ListParagraph"/>
        <w:spacing w:after="240" w:line="360" w:lineRule="auto"/>
        <w:ind w:left="0"/>
        <w:jc w:val="both"/>
        <w:rPr>
          <w:rFonts w:ascii="Times New Roman" w:hAnsi="Times New Roman"/>
          <w:b/>
        </w:rPr>
      </w:pPr>
      <w:r w:rsidRPr="00FD1AA2">
        <w:rPr>
          <w:rFonts w:ascii="Times New Roman" w:hAnsi="Times New Roman"/>
          <w:b/>
        </w:rPr>
        <w:t>1.</w:t>
      </w:r>
      <w:r w:rsidRPr="00FD1AA2">
        <w:rPr>
          <w:rFonts w:ascii="Times New Roman" w:hAnsi="Times New Roman"/>
          <w:b/>
        </w:rPr>
        <w:tab/>
        <w:t>Arithmetic Mean (</w:t>
      </w:r>
      <m:oMath>
        <m:acc>
          <m:accPr>
            <m:chr m:val="̅"/>
            <m:ctrlPr>
              <w:rPr>
                <w:rFonts w:ascii="Cambria Math" w:eastAsia="Times New Roman" w:hAnsi="Cambria Math"/>
                <w:b/>
                <w:i/>
              </w:rPr>
            </m:ctrlPr>
          </m:accPr>
          <m:e>
            <m:r>
              <m:rPr>
                <m:sty m:val="bi"/>
              </m:rPr>
              <w:rPr>
                <w:rFonts w:ascii="Cambria Math" w:eastAsia="Times New Roman" w:hAnsi="Cambria Math"/>
              </w:rPr>
              <m:t>X</m:t>
            </m:r>
          </m:e>
        </m:acc>
        <m:r>
          <m:rPr>
            <m:sty m:val="bi"/>
          </m:rPr>
          <w:rPr>
            <w:rFonts w:ascii="Cambria Math" w:eastAsia="Times New Roman"/>
          </w:rPr>
          <m:t>)</m:t>
        </m:r>
      </m:oMath>
    </w:p>
    <w:p w:rsidR="00DA4DD8" w:rsidRPr="00FD1AA2" w:rsidRDefault="00AB51C1" w:rsidP="00FD1AA2">
      <w:pPr>
        <w:pStyle w:val="ListParagraph"/>
        <w:spacing w:after="240" w:line="360" w:lineRule="auto"/>
        <w:ind w:left="0"/>
        <w:jc w:val="both"/>
        <w:rPr>
          <w:rFonts w:ascii="Times New Roman" w:hAnsi="Times New Roman"/>
        </w:rPr>
      </w:pPr>
      <w:r>
        <w:rPr>
          <w:rFonts w:ascii="Times New Roman" w:hAnsi="Times New Roman"/>
          <w:noProof/>
          <w:lang w:bidi="ar-SA"/>
        </w:rPr>
        <w:pict>
          <v:shape id="_x0000_s1047" type="#_x0000_t202" style="position:absolute;left:0;text-align:left;margin-left:53.5pt;margin-top:53.4pt;width:16.9pt;height:18.75pt;z-index:251665408" filled="f" stroked="f">
            <v:textbox>
              <w:txbxContent>
                <w:p w:rsidR="008C0E1D" w:rsidRPr="00625E50" w:rsidRDefault="008C0E1D">
                  <w:pPr>
                    <w:rPr>
                      <w:rFonts w:ascii="Times New Roman" w:hAnsi="Times New Roman"/>
                      <w:sz w:val="18"/>
                    </w:rPr>
                  </w:pPr>
                  <w:r w:rsidRPr="00625E50">
                    <w:rPr>
                      <w:rFonts w:ascii="Times New Roman" w:hAnsi="Times New Roman"/>
                      <w:sz w:val="18"/>
                    </w:rPr>
                    <w:t>n</w:t>
                  </w:r>
                </w:p>
              </w:txbxContent>
            </v:textbox>
          </v:shape>
        </w:pict>
      </w:r>
      <w:r w:rsidR="00DA4DD8" w:rsidRPr="00FD1AA2">
        <w:rPr>
          <w:rFonts w:ascii="Times New Roman" w:hAnsi="Times New Roman"/>
        </w:rPr>
        <w:t>Arithmetic Mean or simply a mean of a set observation the sum of the entire observation divided by number of observation. It is also known as the arithmetic mean average. It is the sum of total value if divided by number. It is calculated as:</w:t>
      </w:r>
    </w:p>
    <w:p w:rsidR="00DA4DD8" w:rsidRPr="00FD1AA2" w:rsidRDefault="00AB51C1" w:rsidP="00FD1AA2">
      <w:pPr>
        <w:pStyle w:val="ListParagraph"/>
        <w:spacing w:after="240" w:line="360" w:lineRule="auto"/>
        <w:ind w:left="0"/>
        <w:jc w:val="both"/>
        <w:rPr>
          <w:rFonts w:ascii="Times New Roman" w:hAnsi="Times New Roman"/>
        </w:rPr>
      </w:pPr>
      <w:r>
        <w:rPr>
          <w:rFonts w:ascii="Times New Roman" w:hAnsi="Times New Roman"/>
          <w:noProof/>
          <w:lang w:bidi="ar-SA"/>
        </w:rPr>
        <w:pict>
          <v:shape id="_x0000_s1048" type="#_x0000_t202" style="position:absolute;left:0;text-align:left;margin-left:49.9pt;margin-top:16.35pt;width:26.9pt;height:18.75pt;z-index:251666432" filled="f" stroked="f">
            <v:textbox>
              <w:txbxContent>
                <w:p w:rsidR="008C0E1D" w:rsidRPr="00625E50" w:rsidRDefault="008C0E1D">
                  <w:pPr>
                    <w:rPr>
                      <w:rFonts w:ascii="Times New Roman" w:hAnsi="Times New Roman"/>
                      <w:sz w:val="18"/>
                    </w:rPr>
                  </w:pPr>
                  <w:r>
                    <w:rPr>
                      <w:rFonts w:ascii="Times New Roman" w:hAnsi="Times New Roman"/>
                      <w:sz w:val="18"/>
                    </w:rPr>
                    <w:t>i=1</w:t>
                  </w:r>
                </w:p>
              </w:txbxContent>
            </v:textbox>
          </v:shape>
        </w:pict>
      </w:r>
      <w:r w:rsidR="00DA4DD8" w:rsidRPr="00FD1AA2">
        <w:rPr>
          <w:rFonts w:ascii="Times New Roman" w:hAnsi="Times New Roman"/>
        </w:rPr>
        <w:t xml:space="preserve">Mean (X)= </w:t>
      </w:r>
      <m:oMath>
        <m:nary>
          <m:naryPr>
            <m:chr m:val="∑"/>
            <m:limLoc m:val="undOvr"/>
            <m:subHide m:val="on"/>
            <m:supHide m:val="on"/>
            <m:ctrlPr>
              <w:rPr>
                <w:rFonts w:ascii="Cambria Math" w:eastAsia="Times New Roman" w:hAnsi="Cambria Math"/>
                <w:i/>
                <w:sz w:val="30"/>
                <w:szCs w:val="30"/>
              </w:rPr>
            </m:ctrlPr>
          </m:naryPr>
          <m:sub/>
          <m:sup/>
          <m:e>
            <m:f>
              <m:fPr>
                <m:ctrlPr>
                  <w:rPr>
                    <w:rFonts w:ascii="Cambria Math" w:eastAsia="Times New Roman" w:hAnsi="Cambria Math"/>
                    <w:i/>
                    <w:sz w:val="30"/>
                    <w:szCs w:val="30"/>
                  </w:rPr>
                </m:ctrlPr>
              </m:fPr>
              <m:num>
                <m:r>
                  <w:rPr>
                    <w:rFonts w:ascii="Cambria Math" w:eastAsia="Times New Roman" w:hAnsi="Cambria Math"/>
                    <w:sz w:val="30"/>
                    <w:szCs w:val="30"/>
                  </w:rPr>
                  <m:t>xi</m:t>
                </m:r>
              </m:num>
              <m:den>
                <m:r>
                  <w:rPr>
                    <w:rFonts w:ascii="Cambria Math" w:eastAsia="Times New Roman" w:hAnsi="Cambria Math"/>
                    <w:sz w:val="30"/>
                    <w:szCs w:val="30"/>
                  </w:rPr>
                  <m:t>N</m:t>
                </m:r>
              </m:den>
            </m:f>
          </m:e>
        </m:nary>
      </m:oMath>
    </w:p>
    <w:p w:rsidR="00DA4DD8" w:rsidRPr="00FD1AA2" w:rsidRDefault="00DA4DD8" w:rsidP="00FD1AA2">
      <w:pPr>
        <w:pStyle w:val="ListParagraph"/>
        <w:spacing w:after="240" w:line="360" w:lineRule="auto"/>
        <w:ind w:left="0"/>
        <w:jc w:val="both"/>
        <w:rPr>
          <w:rFonts w:ascii="Times New Roman" w:hAnsi="Times New Roman"/>
        </w:rPr>
      </w:pPr>
      <w:r w:rsidRPr="00FD1AA2">
        <w:rPr>
          <w:rFonts w:ascii="Times New Roman" w:hAnsi="Times New Roman"/>
        </w:rPr>
        <w:t>Where,</w:t>
      </w:r>
    </w:p>
    <w:p w:rsidR="00DA4DD8" w:rsidRPr="00FD1AA2" w:rsidRDefault="00DA4DD8" w:rsidP="00FD1AA2">
      <w:pPr>
        <w:pStyle w:val="ListParagraph"/>
        <w:spacing w:after="240" w:line="360" w:lineRule="auto"/>
        <w:ind w:left="0"/>
        <w:jc w:val="both"/>
        <w:rPr>
          <w:rFonts w:ascii="Times New Roman" w:hAnsi="Times New Roman"/>
        </w:rPr>
      </w:pPr>
      <w:r w:rsidRPr="00FD1AA2">
        <w:rPr>
          <w:rFonts w:ascii="Times New Roman" w:hAnsi="Times New Roman"/>
        </w:rPr>
        <w:t>Xi= Value of Variable i</w:t>
      </w:r>
    </w:p>
    <w:p w:rsidR="00DA4DD8" w:rsidRPr="00FD1AA2" w:rsidRDefault="00DA4DD8" w:rsidP="00FD1AA2">
      <w:pPr>
        <w:pStyle w:val="ListParagraph"/>
        <w:spacing w:after="240" w:line="360" w:lineRule="auto"/>
        <w:ind w:left="0"/>
        <w:jc w:val="both"/>
        <w:rPr>
          <w:rFonts w:ascii="Times New Roman" w:hAnsi="Times New Roman"/>
        </w:rPr>
      </w:pPr>
      <w:r w:rsidRPr="00FD1AA2">
        <w:rPr>
          <w:rFonts w:ascii="Times New Roman" w:hAnsi="Times New Roman"/>
        </w:rPr>
        <w:t>N= Number of Items</w:t>
      </w:r>
    </w:p>
    <w:p w:rsidR="00DA4DD8" w:rsidRPr="00FD1AA2" w:rsidRDefault="00DA4DD8" w:rsidP="00FD1AA2">
      <w:pPr>
        <w:pStyle w:val="ListParagraph"/>
        <w:spacing w:after="240" w:line="360" w:lineRule="auto"/>
        <w:ind w:left="0"/>
        <w:jc w:val="both"/>
        <w:rPr>
          <w:rFonts w:ascii="Times New Roman" w:hAnsi="Times New Roman"/>
        </w:rPr>
      </w:pPr>
    </w:p>
    <w:p w:rsidR="00DA4DD8" w:rsidRPr="00FD1AA2" w:rsidRDefault="00DA4DD8" w:rsidP="00FD1AA2">
      <w:pPr>
        <w:pStyle w:val="ListParagraph"/>
        <w:spacing w:after="240" w:line="360" w:lineRule="auto"/>
        <w:ind w:left="0"/>
        <w:jc w:val="both"/>
        <w:rPr>
          <w:rFonts w:ascii="Times New Roman" w:hAnsi="Times New Roman"/>
          <w:b/>
        </w:rPr>
      </w:pPr>
      <w:r w:rsidRPr="00FD1AA2">
        <w:rPr>
          <w:rFonts w:ascii="Times New Roman" w:hAnsi="Times New Roman"/>
          <w:b/>
        </w:rPr>
        <w:t>2.</w:t>
      </w:r>
      <w:r w:rsidRPr="00FD1AA2">
        <w:rPr>
          <w:rFonts w:ascii="Times New Roman" w:hAnsi="Times New Roman"/>
          <w:b/>
        </w:rPr>
        <w:tab/>
        <w:t>Standard Deviation (</w:t>
      </w:r>
      <m:oMath>
        <m:r>
          <m:rPr>
            <m:sty m:val="bi"/>
          </m:rPr>
          <w:rPr>
            <w:rFonts w:ascii="Cambria Math" w:eastAsia="Times New Roman" w:hAnsi="Cambria Math"/>
          </w:rPr>
          <m:t>δ</m:t>
        </m:r>
        <m:r>
          <m:rPr>
            <m:sty m:val="bi"/>
          </m:rPr>
          <w:rPr>
            <w:rFonts w:ascii="Cambria Math" w:eastAsia="Times New Roman"/>
          </w:rPr>
          <m:t>)</m:t>
        </m:r>
      </m:oMath>
    </w:p>
    <w:p w:rsidR="00DA4DD8" w:rsidRPr="00FD1AA2" w:rsidRDefault="00DA4DD8" w:rsidP="00FD1AA2">
      <w:pPr>
        <w:pStyle w:val="ListParagraph"/>
        <w:spacing w:after="240" w:line="360" w:lineRule="auto"/>
        <w:ind w:left="0"/>
        <w:jc w:val="both"/>
        <w:rPr>
          <w:rFonts w:ascii="Times New Roman" w:hAnsi="Times New Roman"/>
        </w:rPr>
      </w:pPr>
      <w:r w:rsidRPr="00FD1AA2">
        <w:rPr>
          <w:rFonts w:ascii="Times New Roman" w:hAnsi="Times New Roman"/>
        </w:rPr>
        <w:t>Standard Deviation is defined as the positive square root of the mean of the square of deviations taken from the arithmetic mean. The standard deviation is the absolute in other measure of dispersion are removed. It is said to be the best measure of dispersion as it satisfies most of the requisites of a good measure of dispersion. It is calculated as follow:</w:t>
      </w:r>
    </w:p>
    <w:p w:rsidR="00DA4DD8" w:rsidRPr="00FD1AA2" w:rsidRDefault="00AB51C1" w:rsidP="00FD1AA2">
      <w:pPr>
        <w:pStyle w:val="ListParagraph"/>
        <w:spacing w:after="240" w:line="360" w:lineRule="auto"/>
        <w:ind w:left="0"/>
        <w:jc w:val="both"/>
        <w:rPr>
          <w:rFonts w:ascii="Times New Roman" w:hAnsi="Times New Roman"/>
        </w:rPr>
      </w:pPr>
      <w:r>
        <w:rPr>
          <w:rFonts w:ascii="Times New Roman" w:hAnsi="Times New Roman"/>
          <w:noProof/>
          <w:lang w:bidi="ar-SA"/>
        </w:rPr>
        <w:pict>
          <v:shape id="_x0000_s1049" type="#_x0000_t202" style="position:absolute;left:0;text-align:left;margin-left:143.55pt;margin-top:-.35pt;width:16.9pt;height:18.75pt;z-index:251667456" filled="f" stroked="f">
            <v:textbox>
              <w:txbxContent>
                <w:p w:rsidR="008C0E1D" w:rsidRPr="00625E50" w:rsidRDefault="008C0E1D">
                  <w:pPr>
                    <w:rPr>
                      <w:rFonts w:ascii="Times New Roman" w:hAnsi="Times New Roman"/>
                      <w:sz w:val="18"/>
                    </w:rPr>
                  </w:pPr>
                  <w:r w:rsidRPr="00625E50">
                    <w:rPr>
                      <w:rFonts w:ascii="Times New Roman" w:hAnsi="Times New Roman"/>
                      <w:sz w:val="18"/>
                    </w:rPr>
                    <w:t>n</w:t>
                  </w:r>
                </w:p>
              </w:txbxContent>
            </v:textbox>
          </v:shape>
        </w:pict>
      </w:r>
      <w:r>
        <w:rPr>
          <w:rFonts w:ascii="Times New Roman" w:hAnsi="Times New Roman"/>
          <w:noProof/>
          <w:lang w:bidi="ar-SA"/>
        </w:rPr>
        <w:pict>
          <v:shape id="_x0000_s1050" type="#_x0000_t202" style="position:absolute;left:0;text-align:left;margin-left:139.95pt;margin-top:24.7pt;width:26.9pt;height:18.75pt;z-index:251668480" filled="f" stroked="f">
            <v:textbox>
              <w:txbxContent>
                <w:p w:rsidR="008C0E1D" w:rsidRPr="00625E50" w:rsidRDefault="008C0E1D">
                  <w:pPr>
                    <w:rPr>
                      <w:rFonts w:ascii="Times New Roman" w:hAnsi="Times New Roman"/>
                      <w:sz w:val="18"/>
                    </w:rPr>
                  </w:pPr>
                  <w:r>
                    <w:rPr>
                      <w:rFonts w:ascii="Times New Roman" w:hAnsi="Times New Roman"/>
                      <w:sz w:val="18"/>
                    </w:rPr>
                    <w:t>i=1</w:t>
                  </w:r>
                </w:p>
              </w:txbxContent>
            </v:textbox>
          </v:shape>
        </w:pict>
      </w:r>
      <w:r w:rsidR="00DA4DD8" w:rsidRPr="00FD1AA2">
        <w:rPr>
          <w:rFonts w:ascii="Times New Roman" w:hAnsi="Times New Roman"/>
        </w:rPr>
        <w:t>Standard Deviation (</w:t>
      </w:r>
      <m:oMath>
        <m:r>
          <w:rPr>
            <w:rFonts w:ascii="Cambria Math" w:eastAsia="Times New Roman" w:hAnsi="Cambria Math"/>
            <w:sz w:val="30"/>
            <w:szCs w:val="30"/>
          </w:rPr>
          <m:t>δ</m:t>
        </m:r>
        <m:r>
          <w:rPr>
            <w:rFonts w:ascii="Cambria Math" w:eastAsia="Times New Roman"/>
            <w:sz w:val="30"/>
            <w:szCs w:val="30"/>
          </w:rPr>
          <m:t>)=</m:t>
        </m:r>
        <m:rad>
          <m:radPr>
            <m:degHide m:val="on"/>
            <m:ctrlPr>
              <w:rPr>
                <w:rFonts w:ascii="Cambria Math" w:eastAsia="Times New Roman" w:hAnsi="Cambria Math"/>
                <w:iCs/>
                <w:sz w:val="30"/>
                <w:szCs w:val="30"/>
              </w:rPr>
            </m:ctrlPr>
          </m:radPr>
          <m:deg/>
          <m:e>
            <m:nary>
              <m:naryPr>
                <m:chr m:val="∑"/>
                <m:limLoc m:val="undOvr"/>
                <m:subHide m:val="on"/>
                <m:supHide m:val="on"/>
                <m:ctrlPr>
                  <w:rPr>
                    <w:rFonts w:ascii="Cambria Math" w:eastAsia="Times New Roman" w:hAnsi="Cambria Math"/>
                    <w:iCs/>
                    <w:sz w:val="30"/>
                    <w:szCs w:val="30"/>
                  </w:rPr>
                </m:ctrlPr>
              </m:naryPr>
              <m:sub/>
              <m:sup/>
              <m:e>
                <m:f>
                  <m:fPr>
                    <m:ctrlPr>
                      <w:rPr>
                        <w:rFonts w:ascii="Cambria Math" w:eastAsia="Times New Roman" w:hAnsi="Cambria Math"/>
                        <w:iCs/>
                        <w:sz w:val="30"/>
                        <w:szCs w:val="30"/>
                      </w:rPr>
                    </m:ctrlPr>
                  </m:fPr>
                  <m:num>
                    <m:r>
                      <m:rPr>
                        <m:sty m:val="p"/>
                      </m:rPr>
                      <w:rPr>
                        <w:rFonts w:ascii="Cambria Math" w:eastAsia="Times New Roman"/>
                        <w:sz w:val="30"/>
                        <w:szCs w:val="30"/>
                      </w:rPr>
                      <m:t>(</m:t>
                    </m:r>
                    <m:r>
                      <m:rPr>
                        <m:sty m:val="p"/>
                      </m:rPr>
                      <w:rPr>
                        <w:rFonts w:ascii="Cambria Math" w:eastAsia="Times New Roman" w:hAnsi="Cambria Math"/>
                        <w:sz w:val="30"/>
                        <w:szCs w:val="30"/>
                      </w:rPr>
                      <m:t>X-</m:t>
                    </m:r>
                    <m:acc>
                      <m:accPr>
                        <m:chr m:val="̅"/>
                        <m:ctrlPr>
                          <w:rPr>
                            <w:rFonts w:ascii="Cambria Math" w:eastAsia="Times New Roman" w:hAnsi="Cambria Math"/>
                            <w:iCs/>
                            <w:sz w:val="30"/>
                            <w:szCs w:val="30"/>
                          </w:rPr>
                        </m:ctrlPr>
                      </m:accPr>
                      <m:e>
                        <m:r>
                          <m:rPr>
                            <m:sty m:val="p"/>
                          </m:rPr>
                          <w:rPr>
                            <w:rFonts w:ascii="Cambria Math" w:eastAsia="Times New Roman" w:hAnsi="Cambria Math"/>
                            <w:sz w:val="30"/>
                            <w:szCs w:val="30"/>
                          </w:rPr>
                          <m:t>X</m:t>
                        </m:r>
                      </m:e>
                    </m:acc>
                    <m:sSup>
                      <m:sSupPr>
                        <m:ctrlPr>
                          <w:rPr>
                            <w:rFonts w:ascii="Cambria Math" w:eastAsia="Times New Roman" w:hAnsi="Cambria Math"/>
                            <w:sz w:val="30"/>
                            <w:szCs w:val="30"/>
                          </w:rPr>
                        </m:ctrlPr>
                      </m:sSupPr>
                      <m:e>
                        <m:r>
                          <m:rPr>
                            <m:sty m:val="p"/>
                          </m:rPr>
                          <w:rPr>
                            <w:rFonts w:ascii="Cambria Math" w:eastAsia="Times New Roman"/>
                            <w:sz w:val="30"/>
                            <w:szCs w:val="30"/>
                          </w:rPr>
                          <m:t>)</m:t>
                        </m:r>
                      </m:e>
                      <m:sup>
                        <m:r>
                          <m:rPr>
                            <m:sty m:val="p"/>
                          </m:rPr>
                          <w:rPr>
                            <w:rFonts w:ascii="Cambria Math" w:eastAsia="Times New Roman"/>
                            <w:sz w:val="30"/>
                            <w:szCs w:val="30"/>
                          </w:rPr>
                          <m:t>2</m:t>
                        </m:r>
                      </m:sup>
                    </m:sSup>
                  </m:num>
                  <m:den>
                    <m:r>
                      <m:rPr>
                        <m:sty m:val="p"/>
                      </m:rPr>
                      <w:rPr>
                        <w:rFonts w:ascii="Cambria Math" w:eastAsia="Times New Roman" w:hAnsi="Cambria Math"/>
                        <w:sz w:val="30"/>
                        <w:szCs w:val="30"/>
                      </w:rPr>
                      <m:t>N</m:t>
                    </m:r>
                  </m:den>
                </m:f>
              </m:e>
            </m:nary>
          </m:e>
        </m:rad>
      </m:oMath>
    </w:p>
    <w:p w:rsidR="00DA4DD8" w:rsidRPr="00FD1AA2" w:rsidRDefault="00DA4DD8" w:rsidP="00FD1AA2">
      <w:pPr>
        <w:spacing w:after="240" w:line="360" w:lineRule="auto"/>
        <w:ind w:left="-270" w:firstLine="270"/>
        <w:jc w:val="both"/>
        <w:rPr>
          <w:rFonts w:ascii="Times New Roman" w:hAnsi="Times New Roman"/>
          <w:b/>
        </w:rPr>
      </w:pPr>
      <w:r w:rsidRPr="00FD1AA2">
        <w:rPr>
          <w:rFonts w:ascii="Times New Roman" w:hAnsi="Times New Roman"/>
          <w:b/>
        </w:rPr>
        <w:t>Coefficient of Variation (CV)</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The coefficient of dispersion based on standard deviation multiply by 100 is known as the coefficient of variation (CV). It is independent of unit. So, two distributions can bitterly be compared with the help of CV for their variability. Less the C.V. less will be the uniformity, consistency. It is calculated as:</w:t>
      </w:r>
    </w:p>
    <w:p w:rsidR="00DA4DD8" w:rsidRPr="00FD1AA2" w:rsidRDefault="00DA4DD8" w:rsidP="00FD1AA2">
      <w:pPr>
        <w:spacing w:after="240" w:line="360" w:lineRule="auto"/>
        <w:ind w:left="-270" w:firstLine="270"/>
        <w:jc w:val="both"/>
        <w:rPr>
          <w:rFonts w:ascii="Times New Roman" w:eastAsia="MS Gothic" w:hAnsi="Times New Roman"/>
        </w:rPr>
      </w:pPr>
      <w:r w:rsidRPr="00FD1AA2">
        <w:rPr>
          <w:rFonts w:ascii="Times New Roman" w:hAnsi="Times New Roman"/>
        </w:rPr>
        <w:t xml:space="preserve">Coefficient of Variation (C.V) </w:t>
      </w:r>
      <w:r w:rsidRPr="00FD1AA2">
        <w:rPr>
          <w:rFonts w:ascii="Times New Roman" w:hAnsi="Times New Roman"/>
          <w:i/>
          <w:iCs/>
          <w:sz w:val="28"/>
        </w:rPr>
        <w:t xml:space="preserve">= </w:t>
      </w:r>
      <m:oMath>
        <m:f>
          <m:fPr>
            <m:ctrlPr>
              <w:rPr>
                <w:rFonts w:ascii="Cambria Math" w:eastAsia="Times New Roman" w:hAnsi="Cambria Math"/>
                <w:i/>
                <w:iCs/>
                <w:sz w:val="30"/>
                <w:szCs w:val="26"/>
              </w:rPr>
            </m:ctrlPr>
          </m:fPr>
          <m:num>
            <m:r>
              <w:rPr>
                <w:rFonts w:ascii="Cambria Math" w:eastAsia="Times New Roman" w:hAnsi="Cambria Math"/>
                <w:sz w:val="30"/>
                <w:szCs w:val="26"/>
              </w:rPr>
              <m:t>δ</m:t>
            </m:r>
          </m:num>
          <m:den>
            <m:acc>
              <m:accPr>
                <m:chr m:val="̅"/>
                <m:ctrlPr>
                  <w:rPr>
                    <w:rFonts w:ascii="Cambria Math" w:eastAsia="Times New Roman" w:hAnsi="Cambria Math"/>
                    <w:sz w:val="30"/>
                    <w:szCs w:val="26"/>
                  </w:rPr>
                </m:ctrlPr>
              </m:accPr>
              <m:e>
                <m:r>
                  <m:rPr>
                    <m:sty m:val="p"/>
                  </m:rPr>
                  <w:rPr>
                    <w:rFonts w:ascii="Cambria Math" w:eastAsia="Times New Roman" w:hAnsi="Cambria Math"/>
                    <w:sz w:val="30"/>
                    <w:szCs w:val="26"/>
                  </w:rPr>
                  <m:t>X</m:t>
                </m:r>
              </m:e>
            </m:acc>
          </m:den>
        </m:f>
      </m:oMath>
      <w:r w:rsidRPr="00FD1AA2">
        <w:rPr>
          <w:rFonts w:ascii="Times New Roman" w:hAnsi="Times New Roman"/>
        </w:rPr>
        <w:t xml:space="preserve"> </w:t>
      </w:r>
      <w:r w:rsidRPr="00FD1AA2">
        <w:rPr>
          <w:rFonts w:ascii="Times New Roman" w:eastAsia="MS Gothic" w:hAnsi="Times New Roman"/>
        </w:rPr>
        <w:t>×100</w:t>
      </w:r>
    </w:p>
    <w:p w:rsidR="00DA4DD8" w:rsidRPr="00FD1AA2" w:rsidRDefault="00DA4DD8" w:rsidP="00FD1AA2">
      <w:pPr>
        <w:spacing w:after="240" w:line="360" w:lineRule="auto"/>
        <w:ind w:left="-270" w:firstLine="270"/>
        <w:jc w:val="both"/>
        <w:rPr>
          <w:rFonts w:ascii="Times New Roman" w:hAnsi="Times New Roman"/>
          <w:sz w:val="28"/>
          <w:szCs w:val="28"/>
        </w:rPr>
      </w:pPr>
      <w:r w:rsidRPr="00FD1AA2">
        <w:rPr>
          <w:rFonts w:ascii="Times New Roman" w:hAnsi="Times New Roman"/>
          <w:b/>
        </w:rPr>
        <w:br/>
      </w:r>
      <w:r w:rsidRPr="00FD1AA2">
        <w:rPr>
          <w:rFonts w:ascii="Times New Roman" w:hAnsi="Times New Roman"/>
          <w:b/>
          <w:sz w:val="28"/>
          <w:szCs w:val="28"/>
        </w:rPr>
        <w:br/>
      </w:r>
      <w:r w:rsidRPr="00FD1AA2">
        <w:rPr>
          <w:rFonts w:ascii="Times New Roman" w:hAnsi="Times New Roman"/>
          <w:b/>
          <w:sz w:val="28"/>
          <w:szCs w:val="28"/>
        </w:rPr>
        <w:tab/>
      </w:r>
    </w:p>
    <w:p w:rsidR="00DA4DD8" w:rsidRPr="00FD1AA2" w:rsidRDefault="00DA4DD8" w:rsidP="00FD1AA2">
      <w:pPr>
        <w:spacing w:after="240" w:line="360" w:lineRule="auto"/>
        <w:jc w:val="both"/>
        <w:rPr>
          <w:rFonts w:ascii="Times New Roman" w:hAnsi="Times New Roman"/>
          <w:sz w:val="28"/>
          <w:szCs w:val="28"/>
        </w:rPr>
      </w:pPr>
      <w:r w:rsidRPr="00FD1AA2">
        <w:rPr>
          <w:rFonts w:ascii="Times New Roman" w:hAnsi="Times New Roman"/>
          <w:sz w:val="28"/>
          <w:szCs w:val="28"/>
        </w:rPr>
        <w:tab/>
      </w:r>
    </w:p>
    <w:p w:rsidR="00691498" w:rsidRDefault="00DA4DD8" w:rsidP="00FD1AA2">
      <w:pPr>
        <w:spacing w:after="240" w:line="360" w:lineRule="auto"/>
        <w:jc w:val="center"/>
        <w:rPr>
          <w:rFonts w:ascii="Times New Roman" w:hAnsi="Times New Roman"/>
          <w:b/>
          <w:caps/>
          <w:sz w:val="32"/>
          <w:szCs w:val="32"/>
        </w:rPr>
      </w:pPr>
      <w:r w:rsidRPr="00691498">
        <w:rPr>
          <w:rFonts w:ascii="Times New Roman" w:hAnsi="Times New Roman"/>
          <w:b/>
          <w:caps/>
          <w:sz w:val="32"/>
          <w:szCs w:val="32"/>
        </w:rPr>
        <w:lastRenderedPageBreak/>
        <w:t>Chapter -IV</w:t>
      </w:r>
    </w:p>
    <w:p w:rsidR="00DA4DD8" w:rsidRPr="00691498" w:rsidRDefault="00DA4DD8" w:rsidP="00FD1AA2">
      <w:pPr>
        <w:spacing w:after="240" w:line="360" w:lineRule="auto"/>
        <w:jc w:val="center"/>
        <w:rPr>
          <w:rFonts w:ascii="Times New Roman" w:hAnsi="Times New Roman"/>
          <w:b/>
          <w:sz w:val="32"/>
          <w:szCs w:val="32"/>
        </w:rPr>
      </w:pPr>
      <w:r w:rsidRPr="00691498">
        <w:rPr>
          <w:rFonts w:ascii="Times New Roman" w:hAnsi="Times New Roman"/>
          <w:b/>
          <w:sz w:val="32"/>
          <w:szCs w:val="32"/>
        </w:rPr>
        <w:t>DATA PRESENTATION AND ANALYSIS</w:t>
      </w:r>
    </w:p>
    <w:p w:rsidR="00DA4DD8" w:rsidRPr="00FD1AA2" w:rsidRDefault="00DA4DD8" w:rsidP="00FD1AA2">
      <w:pPr>
        <w:widowControl w:val="0"/>
        <w:tabs>
          <w:tab w:val="left" w:pos="9000"/>
        </w:tabs>
        <w:spacing w:after="240" w:line="360" w:lineRule="auto"/>
        <w:jc w:val="both"/>
        <w:rPr>
          <w:rFonts w:ascii="Times New Roman" w:hAnsi="Times New Roman"/>
        </w:rPr>
      </w:pPr>
    </w:p>
    <w:p w:rsidR="00DA4DD8" w:rsidRPr="00FD1AA2" w:rsidRDefault="00DA4DD8" w:rsidP="00FD1AA2">
      <w:pPr>
        <w:widowControl w:val="0"/>
        <w:tabs>
          <w:tab w:val="left" w:pos="9000"/>
        </w:tabs>
        <w:spacing w:after="240" w:line="360" w:lineRule="auto"/>
        <w:jc w:val="both"/>
        <w:rPr>
          <w:rFonts w:ascii="Times New Roman" w:hAnsi="Times New Roman"/>
        </w:rPr>
      </w:pPr>
      <w:r w:rsidRPr="00FD1AA2">
        <w:rPr>
          <w:rFonts w:ascii="Times New Roman" w:hAnsi="Times New Roman"/>
        </w:rPr>
        <w:t>This chapter deals with presentation and analysis of data collected from different sources and annual reports of the bank. The raw data Collected has been organized and processed using various tools. In this chapter data and information are presented and analyzed using different financial tools in order to achieve the objectives of the study. In data presentation and analysis, the study is focused on CAMEL Components. (Capital Adequacy, Asset Quality, Management Quality, Earning Quality and liquidity)</w:t>
      </w:r>
    </w:p>
    <w:p w:rsidR="00DA4DD8" w:rsidRPr="00F655E8" w:rsidRDefault="00DA4DD8" w:rsidP="0014232A">
      <w:pPr>
        <w:widowControl w:val="0"/>
        <w:spacing w:after="240" w:line="360" w:lineRule="auto"/>
        <w:jc w:val="both"/>
        <w:rPr>
          <w:rFonts w:ascii="Times New Roman" w:hAnsi="Times New Roman"/>
          <w:b/>
          <w:sz w:val="28"/>
          <w:szCs w:val="28"/>
        </w:rPr>
      </w:pPr>
      <w:r w:rsidRPr="00F655E8">
        <w:rPr>
          <w:rFonts w:ascii="Times New Roman" w:hAnsi="Times New Roman"/>
          <w:b/>
          <w:sz w:val="28"/>
          <w:szCs w:val="28"/>
        </w:rPr>
        <w:t xml:space="preserve">4.1 </w:t>
      </w:r>
      <w:r w:rsidR="0014232A" w:rsidRPr="00F655E8">
        <w:rPr>
          <w:rFonts w:ascii="Times New Roman" w:hAnsi="Times New Roman"/>
          <w:b/>
          <w:sz w:val="28"/>
          <w:szCs w:val="28"/>
        </w:rPr>
        <w:tab/>
      </w:r>
      <w:r w:rsidRPr="00F655E8">
        <w:rPr>
          <w:rFonts w:ascii="Times New Roman" w:hAnsi="Times New Roman"/>
          <w:b/>
          <w:sz w:val="28"/>
          <w:szCs w:val="28"/>
        </w:rPr>
        <w:t>Capital Adequacy Ratio</w:t>
      </w:r>
    </w:p>
    <w:p w:rsidR="00DA4DD8" w:rsidRPr="00FD1AA2" w:rsidRDefault="00AB51C1" w:rsidP="003A5B4D">
      <w:pPr>
        <w:widowControl w:val="0"/>
        <w:spacing w:after="240" w:line="360" w:lineRule="auto"/>
        <w:jc w:val="both"/>
        <w:rPr>
          <w:rFonts w:ascii="Times New Roman" w:hAnsi="Times New Roman"/>
        </w:rPr>
      </w:pPr>
      <w:r>
        <w:rPr>
          <w:rFonts w:ascii="Times New Roman" w:hAnsi="Times New Roman"/>
          <w:noProof/>
          <w:lang w:bidi="ar-SA"/>
        </w:rPr>
        <w:pict>
          <v:shape id="_x0000_s1043" type="#_x0000_t202" style="position:absolute;left:0;text-align:left;margin-left:171.3pt;margin-top:370.05pt;width:78.2pt;height:29.75pt;z-index:251662336" stroked="f">
            <v:textbox>
              <w:txbxContent>
                <w:p w:rsidR="008C0E1D" w:rsidRDefault="008C0E1D"/>
              </w:txbxContent>
            </v:textbox>
          </v:shape>
        </w:pict>
      </w:r>
      <w:r w:rsidR="00DA4DD8" w:rsidRPr="00FD1AA2">
        <w:rPr>
          <w:rFonts w:ascii="Times New Roman" w:hAnsi="Times New Roman"/>
        </w:rPr>
        <w:t>Capital adequacy is a measurement of the institution to determine if solvency can be maintained due to risks that have been incurred as a courses of business. Capital Adequacy component analysis of MBL is made based on the regulation and standard ascertain by NRB as to maintain minimum risk based core and total capital standard and maximum risk based supplementary capital standard . Capital adequacy determines how well banks can manage with stocks to their balance sheets. For the purpose of capital adequacy measurement, bank capital is divided in to Tier I (Core/Primary) capital and Tier II (Supplementary) capital. Risk based capital ratio, Core Capital adequacy ratio, and supplementary capital ratio, past due loans/total loans, total loans to single borrower/ total loans, total loans to a single borrower / core capital and actual provisioning to require provisioning are the ratios used to analyze the capital adequacy ratio. Commercial bank should have adequate capital to support its risks assets in accordance with the risk –weighted capital ratio framework. Adequacy and inadequacy of bank capital directly affects the banking transaction. The adequacy of bank capital is the most important aspect of a bank. If there is inadequacy of capital, the bank should take step for the adequacy of capital as per legal requirement because its financial health cannot be regarded capable and healthy without having sound adequate capital.</w:t>
      </w:r>
    </w:p>
    <w:p w:rsidR="00DA4DD8" w:rsidRPr="00FD1AA2" w:rsidRDefault="00296888" w:rsidP="00FD1AA2">
      <w:pPr>
        <w:pStyle w:val="ListParagraph"/>
        <w:widowControl w:val="0"/>
        <w:numPr>
          <w:ilvl w:val="0"/>
          <w:numId w:val="25"/>
        </w:numPr>
        <w:tabs>
          <w:tab w:val="left" w:pos="9000"/>
        </w:tabs>
        <w:spacing w:after="240" w:line="360" w:lineRule="auto"/>
        <w:ind w:left="360"/>
        <w:jc w:val="both"/>
        <w:rPr>
          <w:rFonts w:ascii="Times New Roman" w:hAnsi="Times New Roman"/>
          <w:b/>
          <w:sz w:val="26"/>
          <w:szCs w:val="26"/>
        </w:rPr>
      </w:pPr>
      <w:r>
        <w:rPr>
          <w:rFonts w:ascii="Times New Roman" w:hAnsi="Times New Roman"/>
          <w:b/>
          <w:sz w:val="26"/>
          <w:szCs w:val="26"/>
        </w:rPr>
        <w:lastRenderedPageBreak/>
        <w:t>Core Capital A</w:t>
      </w:r>
      <w:r w:rsidR="00DA4DD8" w:rsidRPr="00FD1AA2">
        <w:rPr>
          <w:rFonts w:ascii="Times New Roman" w:hAnsi="Times New Roman"/>
          <w:b/>
          <w:sz w:val="26"/>
          <w:szCs w:val="26"/>
        </w:rPr>
        <w:t>dequacy Ratios</w:t>
      </w:r>
    </w:p>
    <w:p w:rsidR="00DA4DD8" w:rsidRPr="00FD1AA2" w:rsidRDefault="00DA4DD8" w:rsidP="00FD1AA2">
      <w:pPr>
        <w:pStyle w:val="ListParagraph"/>
        <w:widowControl w:val="0"/>
        <w:tabs>
          <w:tab w:val="left" w:pos="9000"/>
        </w:tabs>
        <w:spacing w:after="240" w:line="360" w:lineRule="auto"/>
        <w:ind w:left="0"/>
        <w:jc w:val="both"/>
        <w:rPr>
          <w:rFonts w:ascii="Times New Roman" w:hAnsi="Times New Roman"/>
        </w:rPr>
      </w:pPr>
      <w:r w:rsidRPr="00FD1AA2">
        <w:rPr>
          <w:rFonts w:ascii="Times New Roman" w:hAnsi="Times New Roman"/>
        </w:rPr>
        <w:t>Core (Tier 1) Capital means the primary capital of a finance company. Core Capital includes the paid up equity capital, share premium, dividend equalization fund, capital adjustment reserve, on-redeemable performance share, general reserve, accumulated profit and loss amount and good will deductible if any.</w:t>
      </w:r>
      <w:r w:rsidR="00C01DBC">
        <w:rPr>
          <w:rFonts w:ascii="Times New Roman" w:hAnsi="Times New Roman"/>
        </w:rPr>
        <w:t xml:space="preserve"> CCAR measure the adequacy of internal sources of shareholders fund to support the financial activities. It reflects the financial strength and soundness of a company. </w:t>
      </w:r>
    </w:p>
    <w:p w:rsidR="00DA4DD8" w:rsidRPr="00FD1AA2" w:rsidRDefault="00DA4DD8" w:rsidP="00FD1AA2">
      <w:pPr>
        <w:widowControl w:val="0"/>
        <w:spacing w:after="240" w:line="360" w:lineRule="auto"/>
        <w:jc w:val="center"/>
        <w:rPr>
          <w:rFonts w:ascii="Times New Roman" w:hAnsi="Times New Roman"/>
          <w:b/>
        </w:rPr>
      </w:pPr>
      <w:r w:rsidRPr="00FD1AA2">
        <w:rPr>
          <w:rFonts w:ascii="Times New Roman" w:hAnsi="Times New Roman"/>
          <w:b/>
        </w:rPr>
        <w:t xml:space="preserve">Table </w:t>
      </w:r>
      <w:r w:rsidR="00F655E8">
        <w:rPr>
          <w:rFonts w:ascii="Times New Roman" w:hAnsi="Times New Roman"/>
          <w:b/>
        </w:rPr>
        <w:t xml:space="preserve">: </w:t>
      </w:r>
      <w:r w:rsidRPr="00FD1AA2">
        <w:rPr>
          <w:rFonts w:ascii="Times New Roman" w:hAnsi="Times New Roman"/>
          <w:b/>
        </w:rPr>
        <w:t>4.1</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 xml:space="preserve">Core Capital </w:t>
      </w:r>
      <w:r w:rsidR="00242AAE">
        <w:rPr>
          <w:rFonts w:ascii="Times New Roman" w:hAnsi="Times New Roman"/>
          <w:b/>
        </w:rPr>
        <w:t>A</w:t>
      </w:r>
      <w:r w:rsidRPr="00FD1AA2">
        <w:rPr>
          <w:rFonts w:ascii="Times New Roman" w:hAnsi="Times New Roman"/>
          <w:b/>
        </w:rPr>
        <w:t xml:space="preserve">dequacy </w:t>
      </w:r>
      <w:r w:rsidR="00242AAE">
        <w:rPr>
          <w:rFonts w:ascii="Times New Roman" w:hAnsi="Times New Roman"/>
          <w:b/>
        </w:rPr>
        <w:t>R</w:t>
      </w:r>
      <w:r w:rsidRPr="00FD1AA2">
        <w:rPr>
          <w:rFonts w:ascii="Times New Roman" w:hAnsi="Times New Roman"/>
          <w:b/>
        </w:rPr>
        <w:t>atio (CCAR)</w:t>
      </w:r>
    </w:p>
    <w:tbl>
      <w:tblPr>
        <w:tblW w:w="9579" w:type="dxa"/>
        <w:jc w:val="center"/>
        <w:tblInd w:w="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70"/>
        <w:gridCol w:w="1123"/>
        <w:gridCol w:w="1123"/>
        <w:gridCol w:w="1236"/>
        <w:gridCol w:w="1236"/>
        <w:gridCol w:w="1236"/>
        <w:gridCol w:w="763"/>
        <w:gridCol w:w="756"/>
        <w:gridCol w:w="636"/>
      </w:tblGrid>
      <w:tr w:rsidR="00DA4DD8" w:rsidRPr="00FD1AA2" w:rsidTr="0034065E">
        <w:trPr>
          <w:jc w:val="center"/>
        </w:trPr>
        <w:tc>
          <w:tcPr>
            <w:tcW w:w="1535" w:type="dxa"/>
          </w:tcPr>
          <w:p w:rsidR="00DA4DD8" w:rsidRPr="00FD1AA2" w:rsidRDefault="00DA4DD8" w:rsidP="0053443E">
            <w:pPr>
              <w:pStyle w:val="ListParagraph"/>
              <w:widowControl w:val="0"/>
              <w:tabs>
                <w:tab w:val="left" w:pos="9000"/>
              </w:tabs>
              <w:spacing w:line="360" w:lineRule="auto"/>
              <w:ind w:left="0"/>
              <w:jc w:val="center"/>
              <w:rPr>
                <w:rFonts w:ascii="Times New Roman" w:hAnsi="Times New Roman"/>
              </w:rPr>
            </w:pPr>
            <w:r w:rsidRPr="00FD1AA2">
              <w:rPr>
                <w:rFonts w:ascii="Times New Roman" w:hAnsi="Times New Roman"/>
              </w:rPr>
              <w:t>Fiscal year</w:t>
            </w:r>
          </w:p>
        </w:tc>
        <w:tc>
          <w:tcPr>
            <w:tcW w:w="1058"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2062/063</w:t>
            </w:r>
          </w:p>
        </w:tc>
        <w:tc>
          <w:tcPr>
            <w:tcW w:w="1123"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2063/064</w:t>
            </w:r>
          </w:p>
        </w:tc>
        <w:tc>
          <w:tcPr>
            <w:tcW w:w="12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2064/065</w:t>
            </w:r>
          </w:p>
        </w:tc>
        <w:tc>
          <w:tcPr>
            <w:tcW w:w="12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2065/066</w:t>
            </w:r>
          </w:p>
        </w:tc>
        <w:tc>
          <w:tcPr>
            <w:tcW w:w="12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2066/067</w:t>
            </w:r>
          </w:p>
        </w:tc>
        <w:tc>
          <w:tcPr>
            <w:tcW w:w="763"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 xml:space="preserve">Mean </w:t>
            </w:r>
          </w:p>
        </w:tc>
        <w:tc>
          <w:tcPr>
            <w:tcW w:w="75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 xml:space="preserve">S.D </w:t>
            </w:r>
          </w:p>
        </w:tc>
        <w:tc>
          <w:tcPr>
            <w:tcW w:w="6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CV</w:t>
            </w:r>
          </w:p>
        </w:tc>
      </w:tr>
      <w:tr w:rsidR="00DA4DD8" w:rsidRPr="00FD1AA2" w:rsidTr="0034065E">
        <w:trPr>
          <w:jc w:val="center"/>
        </w:trPr>
        <w:tc>
          <w:tcPr>
            <w:tcW w:w="1535" w:type="dxa"/>
          </w:tcPr>
          <w:p w:rsidR="00DA4DD8" w:rsidRPr="00FD1AA2" w:rsidRDefault="00DA4DD8" w:rsidP="0053443E">
            <w:pPr>
              <w:pStyle w:val="ListParagraph"/>
              <w:widowControl w:val="0"/>
              <w:tabs>
                <w:tab w:val="left" w:pos="9000"/>
              </w:tabs>
              <w:spacing w:line="360" w:lineRule="auto"/>
              <w:ind w:left="0"/>
              <w:rPr>
                <w:rFonts w:ascii="Times New Roman" w:hAnsi="Times New Roman"/>
                <w:sz w:val="18"/>
                <w:szCs w:val="18"/>
              </w:rPr>
            </w:pPr>
            <w:r w:rsidRPr="00FD1AA2">
              <w:rPr>
                <w:rFonts w:ascii="Times New Roman" w:hAnsi="Times New Roman"/>
              </w:rPr>
              <w:t>Core capital (in million)</w:t>
            </w:r>
          </w:p>
        </w:tc>
        <w:tc>
          <w:tcPr>
            <w:tcW w:w="1058"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911.543</w:t>
            </w:r>
          </w:p>
        </w:tc>
        <w:tc>
          <w:tcPr>
            <w:tcW w:w="1123"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982.577</w:t>
            </w:r>
          </w:p>
        </w:tc>
        <w:tc>
          <w:tcPr>
            <w:tcW w:w="12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1142.970</w:t>
            </w:r>
          </w:p>
        </w:tc>
        <w:tc>
          <w:tcPr>
            <w:tcW w:w="1236" w:type="dxa"/>
          </w:tcPr>
          <w:p w:rsidR="00C4771F"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1676.865</w:t>
            </w:r>
          </w:p>
          <w:p w:rsidR="00DA4DD8" w:rsidRPr="00C4771F" w:rsidRDefault="00C4771F" w:rsidP="00C4771F">
            <w:pPr>
              <w:tabs>
                <w:tab w:val="left" w:pos="709"/>
              </w:tabs>
            </w:pPr>
            <w:r>
              <w:tab/>
            </w:r>
          </w:p>
        </w:tc>
        <w:tc>
          <w:tcPr>
            <w:tcW w:w="12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1750.353</w:t>
            </w:r>
          </w:p>
        </w:tc>
        <w:tc>
          <w:tcPr>
            <w:tcW w:w="763"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c>
          <w:tcPr>
            <w:tcW w:w="75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c>
          <w:tcPr>
            <w:tcW w:w="6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r>
      <w:tr w:rsidR="00DA4DD8" w:rsidRPr="00FD1AA2" w:rsidTr="0034065E">
        <w:trPr>
          <w:jc w:val="center"/>
        </w:trPr>
        <w:tc>
          <w:tcPr>
            <w:tcW w:w="1535" w:type="dxa"/>
          </w:tcPr>
          <w:p w:rsidR="00DA4DD8" w:rsidRPr="00FD1AA2" w:rsidRDefault="00DA4DD8" w:rsidP="0053443E">
            <w:pPr>
              <w:pStyle w:val="ListParagraph"/>
              <w:widowControl w:val="0"/>
              <w:tabs>
                <w:tab w:val="left" w:pos="9000"/>
              </w:tabs>
              <w:spacing w:line="360" w:lineRule="auto"/>
              <w:ind w:left="0"/>
              <w:rPr>
                <w:rFonts w:ascii="Times New Roman" w:hAnsi="Times New Roman"/>
              </w:rPr>
            </w:pPr>
            <w:r w:rsidRPr="00FD1AA2">
              <w:rPr>
                <w:rFonts w:ascii="Times New Roman" w:hAnsi="Times New Roman"/>
              </w:rPr>
              <w:t>RWA (in  million)</w:t>
            </w:r>
          </w:p>
        </w:tc>
        <w:tc>
          <w:tcPr>
            <w:tcW w:w="1058"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7631.998</w:t>
            </w:r>
          </w:p>
        </w:tc>
        <w:tc>
          <w:tcPr>
            <w:tcW w:w="1123"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9200.656</w:t>
            </w:r>
          </w:p>
        </w:tc>
        <w:tc>
          <w:tcPr>
            <w:tcW w:w="12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10417.064</w:t>
            </w:r>
          </w:p>
        </w:tc>
        <w:tc>
          <w:tcPr>
            <w:tcW w:w="12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15298.217</w:t>
            </w:r>
          </w:p>
        </w:tc>
        <w:tc>
          <w:tcPr>
            <w:tcW w:w="12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17609.185</w:t>
            </w:r>
          </w:p>
        </w:tc>
        <w:tc>
          <w:tcPr>
            <w:tcW w:w="763"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c>
          <w:tcPr>
            <w:tcW w:w="75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c>
          <w:tcPr>
            <w:tcW w:w="6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r>
      <w:tr w:rsidR="00DA4DD8" w:rsidRPr="00FD1AA2" w:rsidTr="0034065E">
        <w:trPr>
          <w:jc w:val="center"/>
        </w:trPr>
        <w:tc>
          <w:tcPr>
            <w:tcW w:w="1535" w:type="dxa"/>
          </w:tcPr>
          <w:p w:rsidR="00DA4DD8" w:rsidRPr="00FD1AA2" w:rsidRDefault="00DA4DD8" w:rsidP="0053443E">
            <w:pPr>
              <w:pStyle w:val="ListParagraph"/>
              <w:widowControl w:val="0"/>
              <w:tabs>
                <w:tab w:val="left" w:pos="9000"/>
              </w:tabs>
              <w:spacing w:line="360" w:lineRule="auto"/>
              <w:ind w:left="0"/>
              <w:rPr>
                <w:rFonts w:ascii="Times New Roman" w:hAnsi="Times New Roman"/>
              </w:rPr>
            </w:pPr>
            <w:r w:rsidRPr="00FD1AA2">
              <w:rPr>
                <w:rFonts w:ascii="Times New Roman" w:hAnsi="Times New Roman"/>
              </w:rPr>
              <w:t>Core capital Adequacy Ratio (%)</w:t>
            </w:r>
          </w:p>
        </w:tc>
        <w:tc>
          <w:tcPr>
            <w:tcW w:w="1058"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11.94</w:t>
            </w:r>
          </w:p>
        </w:tc>
        <w:tc>
          <w:tcPr>
            <w:tcW w:w="1123"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10.68</w:t>
            </w:r>
          </w:p>
        </w:tc>
        <w:tc>
          <w:tcPr>
            <w:tcW w:w="12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10.97</w:t>
            </w:r>
          </w:p>
        </w:tc>
        <w:tc>
          <w:tcPr>
            <w:tcW w:w="12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10.96</w:t>
            </w:r>
          </w:p>
        </w:tc>
        <w:tc>
          <w:tcPr>
            <w:tcW w:w="12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9.94</w:t>
            </w:r>
          </w:p>
        </w:tc>
        <w:tc>
          <w:tcPr>
            <w:tcW w:w="763"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10.9</w:t>
            </w:r>
          </w:p>
        </w:tc>
        <w:tc>
          <w:tcPr>
            <w:tcW w:w="75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0.642</w:t>
            </w:r>
          </w:p>
        </w:tc>
        <w:tc>
          <w:tcPr>
            <w:tcW w:w="6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5.89</w:t>
            </w:r>
          </w:p>
        </w:tc>
      </w:tr>
      <w:tr w:rsidR="00DA4DD8" w:rsidRPr="00FD1AA2" w:rsidTr="0034065E">
        <w:trPr>
          <w:jc w:val="center"/>
        </w:trPr>
        <w:tc>
          <w:tcPr>
            <w:tcW w:w="1535" w:type="dxa"/>
          </w:tcPr>
          <w:p w:rsidR="00DA4DD8" w:rsidRPr="00FD1AA2" w:rsidRDefault="00DA4DD8" w:rsidP="0053443E">
            <w:pPr>
              <w:pStyle w:val="ListParagraph"/>
              <w:widowControl w:val="0"/>
              <w:tabs>
                <w:tab w:val="left" w:pos="9000"/>
              </w:tabs>
              <w:spacing w:line="360" w:lineRule="auto"/>
              <w:ind w:left="0"/>
              <w:rPr>
                <w:rFonts w:ascii="Times New Roman" w:hAnsi="Times New Roman"/>
              </w:rPr>
            </w:pPr>
            <w:r w:rsidRPr="00FD1AA2">
              <w:rPr>
                <w:rFonts w:ascii="Times New Roman" w:hAnsi="Times New Roman"/>
              </w:rPr>
              <w:t>NRB Standard (%)</w:t>
            </w:r>
          </w:p>
        </w:tc>
        <w:tc>
          <w:tcPr>
            <w:tcW w:w="1058"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5.5</w:t>
            </w:r>
          </w:p>
        </w:tc>
        <w:tc>
          <w:tcPr>
            <w:tcW w:w="1123"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5.5</w:t>
            </w:r>
          </w:p>
        </w:tc>
        <w:tc>
          <w:tcPr>
            <w:tcW w:w="12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5.5</w:t>
            </w:r>
          </w:p>
        </w:tc>
        <w:tc>
          <w:tcPr>
            <w:tcW w:w="12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6</w:t>
            </w:r>
          </w:p>
        </w:tc>
        <w:tc>
          <w:tcPr>
            <w:tcW w:w="12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6</w:t>
            </w:r>
          </w:p>
        </w:tc>
        <w:tc>
          <w:tcPr>
            <w:tcW w:w="763"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c>
          <w:tcPr>
            <w:tcW w:w="75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c>
          <w:tcPr>
            <w:tcW w:w="6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r>
      <w:tr w:rsidR="00DA4DD8" w:rsidRPr="00FD1AA2" w:rsidTr="0034065E">
        <w:trPr>
          <w:jc w:val="center"/>
        </w:trPr>
        <w:tc>
          <w:tcPr>
            <w:tcW w:w="1535" w:type="dxa"/>
          </w:tcPr>
          <w:p w:rsidR="00DA4DD8" w:rsidRPr="00FD1AA2" w:rsidRDefault="00DA4DD8" w:rsidP="0053443E">
            <w:pPr>
              <w:pStyle w:val="ListParagraph"/>
              <w:widowControl w:val="0"/>
              <w:tabs>
                <w:tab w:val="left" w:pos="9000"/>
              </w:tabs>
              <w:spacing w:line="360" w:lineRule="auto"/>
              <w:ind w:left="0"/>
              <w:rPr>
                <w:rFonts w:ascii="Times New Roman" w:hAnsi="Times New Roman"/>
              </w:rPr>
            </w:pPr>
            <w:r w:rsidRPr="00FD1AA2">
              <w:rPr>
                <w:rFonts w:ascii="Times New Roman" w:hAnsi="Times New Roman"/>
              </w:rPr>
              <w:t>Excess/Short</w:t>
            </w:r>
          </w:p>
        </w:tc>
        <w:tc>
          <w:tcPr>
            <w:tcW w:w="1058"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6.44</w:t>
            </w:r>
          </w:p>
        </w:tc>
        <w:tc>
          <w:tcPr>
            <w:tcW w:w="1123"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5.18</w:t>
            </w:r>
          </w:p>
        </w:tc>
        <w:tc>
          <w:tcPr>
            <w:tcW w:w="12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5.47</w:t>
            </w:r>
          </w:p>
        </w:tc>
        <w:tc>
          <w:tcPr>
            <w:tcW w:w="12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4.96</w:t>
            </w:r>
          </w:p>
        </w:tc>
        <w:tc>
          <w:tcPr>
            <w:tcW w:w="12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3.94</w:t>
            </w:r>
          </w:p>
        </w:tc>
        <w:tc>
          <w:tcPr>
            <w:tcW w:w="763"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c>
          <w:tcPr>
            <w:tcW w:w="75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c>
          <w:tcPr>
            <w:tcW w:w="636" w:type="dxa"/>
          </w:tcPr>
          <w:p w:rsidR="00DA4DD8" w:rsidRPr="00FD1AA2" w:rsidRDefault="00DA4DD8" w:rsidP="0053443E">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r>
    </w:tbl>
    <w:p w:rsidR="00DA4DD8" w:rsidRPr="00577A40" w:rsidRDefault="00DA4DD8" w:rsidP="00FD1AA2">
      <w:pPr>
        <w:widowControl w:val="0"/>
        <w:tabs>
          <w:tab w:val="left" w:pos="9000"/>
        </w:tabs>
        <w:spacing w:after="240" w:line="360" w:lineRule="auto"/>
        <w:jc w:val="both"/>
        <w:rPr>
          <w:rFonts w:ascii="Times New Roman" w:hAnsi="Times New Roman"/>
          <w:i/>
        </w:rPr>
      </w:pPr>
      <w:r w:rsidRPr="00577A40">
        <w:rPr>
          <w:rFonts w:ascii="Times New Roman" w:hAnsi="Times New Roman"/>
          <w:i/>
        </w:rPr>
        <w:t>Source: Annual Reports of MBL</w:t>
      </w:r>
    </w:p>
    <w:p w:rsidR="00D34449" w:rsidRDefault="00D34449">
      <w:pPr>
        <w:spacing w:after="200" w:line="276" w:lineRule="auto"/>
        <w:rPr>
          <w:rFonts w:ascii="Times New Roman" w:hAnsi="Times New Roman"/>
          <w:b/>
        </w:rPr>
      </w:pPr>
      <w:r>
        <w:rPr>
          <w:rFonts w:ascii="Times New Roman" w:hAnsi="Times New Roman"/>
          <w:b/>
        </w:rPr>
        <w:br w:type="page"/>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lastRenderedPageBreak/>
        <w:t>Figure</w:t>
      </w:r>
      <w:r w:rsidR="000B452E">
        <w:rPr>
          <w:rFonts w:ascii="Times New Roman" w:hAnsi="Times New Roman"/>
          <w:b/>
        </w:rPr>
        <w:t xml:space="preserve"> :</w:t>
      </w:r>
      <w:r w:rsidRPr="00FD1AA2">
        <w:rPr>
          <w:rFonts w:ascii="Times New Roman" w:hAnsi="Times New Roman"/>
          <w:b/>
        </w:rPr>
        <w:t xml:space="preserve"> 4.1 </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 xml:space="preserve">Comparing Core Capital Adequacy Ratio with NRB Standard </w:t>
      </w:r>
    </w:p>
    <w:p w:rsidR="00DA4DD8" w:rsidRPr="00FD1AA2" w:rsidRDefault="009A308E" w:rsidP="00FD1AA2">
      <w:pPr>
        <w:widowControl w:val="0"/>
        <w:tabs>
          <w:tab w:val="left" w:pos="9000"/>
        </w:tabs>
        <w:spacing w:after="240" w:line="360" w:lineRule="auto"/>
        <w:jc w:val="center"/>
        <w:rPr>
          <w:rFonts w:ascii="Times New Roman" w:hAnsi="Times New Roman"/>
          <w:b/>
        </w:rPr>
      </w:pPr>
      <w:r>
        <w:rPr>
          <w:rFonts w:ascii="Times New Roman" w:hAnsi="Times New Roman"/>
          <w:b/>
          <w:noProof/>
          <w:lang w:bidi="ar-SA"/>
        </w:rPr>
        <w:drawing>
          <wp:inline distT="0" distB="0" distL="0" distR="0">
            <wp:extent cx="5274945" cy="3143056"/>
            <wp:effectExtent l="19050" t="0" r="20955" b="194"/>
            <wp:docPr id="48"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A4DD8" w:rsidRPr="00FD1AA2" w:rsidRDefault="00DA4DD8" w:rsidP="00FD1AA2">
      <w:pPr>
        <w:widowControl w:val="0"/>
        <w:tabs>
          <w:tab w:val="left" w:pos="9000"/>
        </w:tabs>
        <w:spacing w:after="240" w:line="360" w:lineRule="auto"/>
        <w:jc w:val="both"/>
        <w:rPr>
          <w:rFonts w:ascii="Times New Roman" w:hAnsi="Times New Roman"/>
        </w:rPr>
      </w:pPr>
      <w:r w:rsidRPr="00FD1AA2">
        <w:rPr>
          <w:rFonts w:ascii="Times New Roman" w:hAnsi="Times New Roman"/>
        </w:rPr>
        <w:t>The above table and Figure 4.1 shows CCAR of MBL for the study period 11.94%,10.68%,10.97%,10.96% and 9.94%. The table also show the NRB standard required to be maintained by the MBL as 5.5% in 2062/063, 2063/064,2064/065 and 6%  in 2065/066,2066/067. From the table it can be seen that the CCAR maintained by MBL is greater than NRB standards for the study period. The core capital adequacy ratio of MBL was maximum with 11.94% in FY 2062/063 and minimum with 9.94% in FY 2066/067 with the average ratio of 10.9%. The standard deviation of core capital adequacy ratio is 0.64 and coefficient of variation 5.89%. Thus it is clear that the core capital adequacy ratio of MBL is above the NRB standards during the study period. The core capital adequacy ratio of MBL is decreasing in FY 2063/064, than increasing in FY 2064/065 than after decreasing in FY 2065/066 and 2066/067.</w:t>
      </w:r>
    </w:p>
    <w:p w:rsidR="00DA4DD8" w:rsidRPr="00FD1AA2" w:rsidRDefault="00DA4DD8" w:rsidP="00FD1AA2">
      <w:pPr>
        <w:widowControl w:val="0"/>
        <w:spacing w:after="240" w:line="360" w:lineRule="auto"/>
        <w:jc w:val="both"/>
        <w:rPr>
          <w:rFonts w:ascii="Times New Roman" w:hAnsi="Times New Roman"/>
          <w:b/>
          <w:sz w:val="26"/>
          <w:szCs w:val="26"/>
        </w:rPr>
      </w:pPr>
      <w:r w:rsidRPr="00FD1AA2">
        <w:rPr>
          <w:rFonts w:ascii="Times New Roman" w:hAnsi="Times New Roman"/>
          <w:b/>
          <w:sz w:val="26"/>
          <w:szCs w:val="26"/>
        </w:rPr>
        <w:t>2)</w:t>
      </w:r>
      <w:r w:rsidRPr="00FD1AA2">
        <w:rPr>
          <w:rFonts w:ascii="Times New Roman" w:hAnsi="Times New Roman"/>
          <w:b/>
          <w:sz w:val="26"/>
          <w:szCs w:val="26"/>
        </w:rPr>
        <w:tab/>
        <w:t xml:space="preserve">Supplementary Capital </w:t>
      </w:r>
      <w:r w:rsidR="00242AAE">
        <w:rPr>
          <w:rFonts w:ascii="Times New Roman" w:hAnsi="Times New Roman"/>
          <w:b/>
          <w:sz w:val="26"/>
          <w:szCs w:val="26"/>
        </w:rPr>
        <w:t>A</w:t>
      </w:r>
      <w:r w:rsidRPr="00FD1AA2">
        <w:rPr>
          <w:rFonts w:ascii="Times New Roman" w:hAnsi="Times New Roman"/>
          <w:b/>
          <w:sz w:val="26"/>
          <w:szCs w:val="26"/>
        </w:rPr>
        <w:t xml:space="preserve">dequacy </w:t>
      </w:r>
      <w:r w:rsidR="00242AAE">
        <w:rPr>
          <w:rFonts w:ascii="Times New Roman" w:hAnsi="Times New Roman"/>
          <w:b/>
          <w:sz w:val="26"/>
          <w:szCs w:val="26"/>
        </w:rPr>
        <w:t>R</w:t>
      </w:r>
      <w:r w:rsidRPr="00FD1AA2">
        <w:rPr>
          <w:rFonts w:ascii="Times New Roman" w:hAnsi="Times New Roman"/>
          <w:b/>
          <w:sz w:val="26"/>
          <w:szCs w:val="26"/>
        </w:rPr>
        <w:t>atio</w:t>
      </w:r>
    </w:p>
    <w:p w:rsidR="00DA4DD8" w:rsidRPr="00FD1AA2" w:rsidRDefault="00DA4DD8" w:rsidP="00FD1AA2">
      <w:pPr>
        <w:widowControl w:val="0"/>
        <w:tabs>
          <w:tab w:val="left" w:pos="9000"/>
        </w:tabs>
        <w:spacing w:after="240" w:line="360" w:lineRule="auto"/>
        <w:jc w:val="both"/>
        <w:rPr>
          <w:rFonts w:ascii="Times New Roman" w:hAnsi="Times New Roman"/>
        </w:rPr>
      </w:pPr>
      <w:r w:rsidRPr="00FD1AA2">
        <w:rPr>
          <w:rFonts w:ascii="Times New Roman" w:hAnsi="Times New Roman"/>
        </w:rPr>
        <w:t xml:space="preserve">Supplementary (Tier 2) capital is another component of commercial banks. Supplementary capital means the amount of capital that are transferred in free reserve and collected by using the hybrid capital instrument, general loan loss provision, </w:t>
      </w:r>
      <w:r w:rsidRPr="00FD1AA2">
        <w:rPr>
          <w:rFonts w:ascii="Times New Roman" w:hAnsi="Times New Roman"/>
        </w:rPr>
        <w:lastRenderedPageBreak/>
        <w:t>exchange equalization reserve, assets revaluation reserve, sub-ordinate term debt and</w:t>
      </w:r>
      <w:r w:rsidR="003656BE">
        <w:rPr>
          <w:rFonts w:ascii="Times New Roman" w:hAnsi="Times New Roman"/>
        </w:rPr>
        <w:t xml:space="preserve"> other free reserve (Baral, 2005: </w:t>
      </w:r>
      <w:r w:rsidRPr="00FD1AA2">
        <w:rPr>
          <w:rFonts w:ascii="Times New Roman" w:hAnsi="Times New Roman"/>
        </w:rPr>
        <w:t>p.43).NRB has set standard of supplementary capital ratio to be maintained by the commercial banks as not more than the core capital of the bank.</w:t>
      </w:r>
      <w:r w:rsidR="003656BE">
        <w:rPr>
          <w:rFonts w:ascii="Times New Roman" w:hAnsi="Times New Roman"/>
        </w:rPr>
        <w:t xml:space="preserve"> Supplementary capital less than core capital or NRB standard is better for the bank.</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Table</w:t>
      </w:r>
      <w:r w:rsidR="00FD5D64">
        <w:rPr>
          <w:rFonts w:ascii="Times New Roman" w:hAnsi="Times New Roman"/>
          <w:b/>
        </w:rPr>
        <w:t xml:space="preserve"> :</w:t>
      </w:r>
      <w:r w:rsidRPr="00FD1AA2">
        <w:rPr>
          <w:rFonts w:ascii="Times New Roman" w:hAnsi="Times New Roman"/>
          <w:b/>
        </w:rPr>
        <w:t xml:space="preserve"> 4.2</w:t>
      </w:r>
    </w:p>
    <w:p w:rsidR="00DA4DD8" w:rsidRPr="00FD1AA2" w:rsidRDefault="00026316" w:rsidP="00FD1AA2">
      <w:pPr>
        <w:widowControl w:val="0"/>
        <w:tabs>
          <w:tab w:val="left" w:pos="9000"/>
        </w:tabs>
        <w:spacing w:after="240" w:line="360" w:lineRule="auto"/>
        <w:jc w:val="center"/>
        <w:rPr>
          <w:rFonts w:ascii="Times New Roman" w:hAnsi="Times New Roman"/>
          <w:b/>
        </w:rPr>
      </w:pPr>
      <w:r>
        <w:rPr>
          <w:rFonts w:ascii="Times New Roman" w:hAnsi="Times New Roman"/>
          <w:b/>
        </w:rPr>
        <w:t>Supplementary Capital A</w:t>
      </w:r>
      <w:r w:rsidR="00242AAE">
        <w:rPr>
          <w:rFonts w:ascii="Times New Roman" w:hAnsi="Times New Roman"/>
          <w:b/>
        </w:rPr>
        <w:t>dequacy R</w:t>
      </w:r>
      <w:r w:rsidR="00DA4DD8" w:rsidRPr="00FD1AA2">
        <w:rPr>
          <w:rFonts w:ascii="Times New Roman" w:hAnsi="Times New Roman"/>
          <w:b/>
        </w:rPr>
        <w:t>atio (SCAR)</w:t>
      </w:r>
    </w:p>
    <w:tbl>
      <w:tblPr>
        <w:tblW w:w="5417"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49"/>
        <w:gridCol w:w="1048"/>
        <w:gridCol w:w="1047"/>
        <w:gridCol w:w="1151"/>
        <w:gridCol w:w="1151"/>
        <w:gridCol w:w="1151"/>
        <w:gridCol w:w="717"/>
        <w:gridCol w:w="711"/>
        <w:gridCol w:w="711"/>
      </w:tblGrid>
      <w:tr w:rsidR="00DA4DD8" w:rsidRPr="00FD1AA2" w:rsidTr="00DA4DD8">
        <w:tc>
          <w:tcPr>
            <w:tcW w:w="838"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Fiscal year</w:t>
            </w:r>
          </w:p>
        </w:tc>
        <w:tc>
          <w:tcPr>
            <w:tcW w:w="567"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2062/063</w:t>
            </w:r>
          </w:p>
        </w:tc>
        <w:tc>
          <w:tcPr>
            <w:tcW w:w="567"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2063/064</w:t>
            </w:r>
          </w:p>
        </w:tc>
        <w:tc>
          <w:tcPr>
            <w:tcW w:w="623"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2064/065</w:t>
            </w:r>
          </w:p>
        </w:tc>
        <w:tc>
          <w:tcPr>
            <w:tcW w:w="623"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2065/066</w:t>
            </w:r>
          </w:p>
        </w:tc>
        <w:tc>
          <w:tcPr>
            <w:tcW w:w="623"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2066/067</w:t>
            </w:r>
          </w:p>
        </w:tc>
        <w:tc>
          <w:tcPr>
            <w:tcW w:w="388" w:type="pct"/>
          </w:tcPr>
          <w:p w:rsidR="00DA4DD8" w:rsidRPr="00FD1AA2" w:rsidRDefault="00DA4DD8" w:rsidP="007A5296">
            <w:pPr>
              <w:pStyle w:val="ListParagraph"/>
              <w:widowControl w:val="0"/>
              <w:tabs>
                <w:tab w:val="left" w:pos="9000"/>
              </w:tabs>
              <w:spacing w:after="120"/>
              <w:ind w:left="0"/>
              <w:jc w:val="right"/>
              <w:rPr>
                <w:rFonts w:ascii="Times New Roman" w:hAnsi="Times New Roman"/>
                <w:sz w:val="20"/>
              </w:rPr>
            </w:pPr>
            <w:r w:rsidRPr="00FD1AA2">
              <w:rPr>
                <w:rFonts w:ascii="Times New Roman" w:hAnsi="Times New Roman"/>
                <w:sz w:val="20"/>
              </w:rPr>
              <w:t xml:space="preserve">Mean </w:t>
            </w:r>
          </w:p>
        </w:tc>
        <w:tc>
          <w:tcPr>
            <w:tcW w:w="385" w:type="pct"/>
          </w:tcPr>
          <w:p w:rsidR="00DA4DD8" w:rsidRPr="00FD1AA2" w:rsidRDefault="00DA4DD8" w:rsidP="007A5296">
            <w:pPr>
              <w:pStyle w:val="ListParagraph"/>
              <w:widowControl w:val="0"/>
              <w:tabs>
                <w:tab w:val="left" w:pos="9000"/>
              </w:tabs>
              <w:spacing w:after="120"/>
              <w:ind w:left="0"/>
              <w:jc w:val="right"/>
              <w:rPr>
                <w:rFonts w:ascii="Times New Roman" w:hAnsi="Times New Roman"/>
                <w:sz w:val="20"/>
              </w:rPr>
            </w:pPr>
            <w:r w:rsidRPr="00FD1AA2">
              <w:rPr>
                <w:rFonts w:ascii="Times New Roman" w:hAnsi="Times New Roman"/>
                <w:sz w:val="20"/>
              </w:rPr>
              <w:t xml:space="preserve">S.D </w:t>
            </w:r>
          </w:p>
        </w:tc>
        <w:tc>
          <w:tcPr>
            <w:tcW w:w="385" w:type="pct"/>
          </w:tcPr>
          <w:p w:rsidR="00DA4DD8" w:rsidRPr="00FD1AA2" w:rsidRDefault="00DA4DD8" w:rsidP="007A5296">
            <w:pPr>
              <w:pStyle w:val="ListParagraph"/>
              <w:widowControl w:val="0"/>
              <w:tabs>
                <w:tab w:val="left" w:pos="9000"/>
              </w:tabs>
              <w:spacing w:after="120"/>
              <w:ind w:left="0"/>
              <w:jc w:val="right"/>
              <w:rPr>
                <w:rFonts w:ascii="Times New Roman" w:hAnsi="Times New Roman"/>
                <w:sz w:val="20"/>
              </w:rPr>
            </w:pPr>
            <w:r w:rsidRPr="00FD1AA2">
              <w:rPr>
                <w:rFonts w:ascii="Times New Roman" w:hAnsi="Times New Roman"/>
                <w:sz w:val="20"/>
              </w:rPr>
              <w:t>CV</w:t>
            </w:r>
          </w:p>
        </w:tc>
      </w:tr>
      <w:tr w:rsidR="00DA4DD8" w:rsidRPr="00FD1AA2" w:rsidTr="00DA4DD8">
        <w:tc>
          <w:tcPr>
            <w:tcW w:w="838"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Supplementary Capital (in million)</w:t>
            </w:r>
          </w:p>
        </w:tc>
        <w:tc>
          <w:tcPr>
            <w:tcW w:w="567"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64.524</w:t>
            </w:r>
          </w:p>
        </w:tc>
        <w:tc>
          <w:tcPr>
            <w:tcW w:w="567"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119.149</w:t>
            </w:r>
          </w:p>
        </w:tc>
        <w:tc>
          <w:tcPr>
            <w:tcW w:w="623"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136.826</w:t>
            </w:r>
          </w:p>
        </w:tc>
        <w:tc>
          <w:tcPr>
            <w:tcW w:w="623"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135.004</w:t>
            </w:r>
          </w:p>
        </w:tc>
        <w:tc>
          <w:tcPr>
            <w:tcW w:w="623"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229.202</w:t>
            </w:r>
          </w:p>
        </w:tc>
        <w:tc>
          <w:tcPr>
            <w:tcW w:w="388" w:type="pct"/>
          </w:tcPr>
          <w:p w:rsidR="00DA4DD8" w:rsidRPr="00FD1AA2" w:rsidRDefault="00DA4DD8" w:rsidP="007A5296">
            <w:pPr>
              <w:pStyle w:val="ListParagraph"/>
              <w:widowControl w:val="0"/>
              <w:tabs>
                <w:tab w:val="left" w:pos="9000"/>
              </w:tabs>
              <w:spacing w:after="120"/>
              <w:ind w:left="0"/>
              <w:jc w:val="right"/>
              <w:rPr>
                <w:rFonts w:ascii="Times New Roman" w:hAnsi="Times New Roman"/>
                <w:sz w:val="20"/>
              </w:rPr>
            </w:pPr>
            <w:r w:rsidRPr="00FD1AA2">
              <w:rPr>
                <w:rFonts w:ascii="Times New Roman" w:hAnsi="Times New Roman"/>
                <w:sz w:val="20"/>
              </w:rPr>
              <w:t>-</w:t>
            </w:r>
          </w:p>
        </w:tc>
        <w:tc>
          <w:tcPr>
            <w:tcW w:w="385" w:type="pct"/>
          </w:tcPr>
          <w:p w:rsidR="00DA4DD8" w:rsidRPr="00FD1AA2" w:rsidRDefault="00DA4DD8" w:rsidP="007A5296">
            <w:pPr>
              <w:pStyle w:val="ListParagraph"/>
              <w:widowControl w:val="0"/>
              <w:tabs>
                <w:tab w:val="left" w:pos="9000"/>
              </w:tabs>
              <w:spacing w:after="120"/>
              <w:ind w:left="0"/>
              <w:jc w:val="right"/>
              <w:rPr>
                <w:rFonts w:ascii="Times New Roman" w:hAnsi="Times New Roman"/>
                <w:sz w:val="20"/>
              </w:rPr>
            </w:pPr>
            <w:r w:rsidRPr="00FD1AA2">
              <w:rPr>
                <w:rFonts w:ascii="Times New Roman" w:hAnsi="Times New Roman"/>
                <w:sz w:val="20"/>
              </w:rPr>
              <w:t>-</w:t>
            </w:r>
          </w:p>
        </w:tc>
        <w:tc>
          <w:tcPr>
            <w:tcW w:w="385" w:type="pct"/>
          </w:tcPr>
          <w:p w:rsidR="00DA4DD8" w:rsidRPr="00FD1AA2" w:rsidRDefault="00DA4DD8" w:rsidP="007A5296">
            <w:pPr>
              <w:pStyle w:val="ListParagraph"/>
              <w:widowControl w:val="0"/>
              <w:tabs>
                <w:tab w:val="left" w:pos="9000"/>
              </w:tabs>
              <w:spacing w:after="120"/>
              <w:ind w:left="0"/>
              <w:jc w:val="right"/>
              <w:rPr>
                <w:rFonts w:ascii="Times New Roman" w:hAnsi="Times New Roman"/>
                <w:sz w:val="20"/>
              </w:rPr>
            </w:pPr>
            <w:r w:rsidRPr="00FD1AA2">
              <w:rPr>
                <w:rFonts w:ascii="Times New Roman" w:hAnsi="Times New Roman"/>
                <w:sz w:val="20"/>
              </w:rPr>
              <w:t>-</w:t>
            </w:r>
          </w:p>
        </w:tc>
      </w:tr>
      <w:tr w:rsidR="00DA4DD8" w:rsidRPr="00FD1AA2" w:rsidTr="00DA4DD8">
        <w:tc>
          <w:tcPr>
            <w:tcW w:w="838"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RWA (in million)</w:t>
            </w:r>
          </w:p>
        </w:tc>
        <w:tc>
          <w:tcPr>
            <w:tcW w:w="567"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7631.998</w:t>
            </w:r>
          </w:p>
        </w:tc>
        <w:tc>
          <w:tcPr>
            <w:tcW w:w="567"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9200.656</w:t>
            </w:r>
          </w:p>
        </w:tc>
        <w:tc>
          <w:tcPr>
            <w:tcW w:w="623"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10417.064</w:t>
            </w:r>
          </w:p>
        </w:tc>
        <w:tc>
          <w:tcPr>
            <w:tcW w:w="623"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15298.217</w:t>
            </w:r>
          </w:p>
        </w:tc>
        <w:tc>
          <w:tcPr>
            <w:tcW w:w="623"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17609.185</w:t>
            </w:r>
          </w:p>
        </w:tc>
        <w:tc>
          <w:tcPr>
            <w:tcW w:w="388" w:type="pct"/>
          </w:tcPr>
          <w:p w:rsidR="00DA4DD8" w:rsidRPr="00FD1AA2" w:rsidRDefault="00DA4DD8" w:rsidP="007A5296">
            <w:pPr>
              <w:pStyle w:val="ListParagraph"/>
              <w:widowControl w:val="0"/>
              <w:tabs>
                <w:tab w:val="left" w:pos="9000"/>
              </w:tabs>
              <w:spacing w:after="120"/>
              <w:ind w:left="0"/>
              <w:jc w:val="right"/>
              <w:rPr>
                <w:rFonts w:ascii="Times New Roman" w:hAnsi="Times New Roman"/>
                <w:sz w:val="20"/>
              </w:rPr>
            </w:pPr>
            <w:r w:rsidRPr="00FD1AA2">
              <w:rPr>
                <w:rFonts w:ascii="Times New Roman" w:hAnsi="Times New Roman"/>
                <w:sz w:val="20"/>
              </w:rPr>
              <w:t>-</w:t>
            </w:r>
          </w:p>
        </w:tc>
        <w:tc>
          <w:tcPr>
            <w:tcW w:w="385" w:type="pct"/>
          </w:tcPr>
          <w:p w:rsidR="00DA4DD8" w:rsidRPr="00FD1AA2" w:rsidRDefault="00DA4DD8" w:rsidP="007A5296">
            <w:pPr>
              <w:pStyle w:val="ListParagraph"/>
              <w:widowControl w:val="0"/>
              <w:tabs>
                <w:tab w:val="left" w:pos="9000"/>
              </w:tabs>
              <w:spacing w:after="120"/>
              <w:ind w:left="0"/>
              <w:jc w:val="right"/>
              <w:rPr>
                <w:rFonts w:ascii="Times New Roman" w:hAnsi="Times New Roman"/>
                <w:sz w:val="20"/>
              </w:rPr>
            </w:pPr>
            <w:r w:rsidRPr="00FD1AA2">
              <w:rPr>
                <w:rFonts w:ascii="Times New Roman" w:hAnsi="Times New Roman"/>
                <w:sz w:val="20"/>
              </w:rPr>
              <w:t>-</w:t>
            </w:r>
          </w:p>
        </w:tc>
        <w:tc>
          <w:tcPr>
            <w:tcW w:w="385" w:type="pct"/>
          </w:tcPr>
          <w:p w:rsidR="00DA4DD8" w:rsidRPr="00FD1AA2" w:rsidRDefault="00DA4DD8" w:rsidP="007A5296">
            <w:pPr>
              <w:pStyle w:val="ListParagraph"/>
              <w:widowControl w:val="0"/>
              <w:tabs>
                <w:tab w:val="left" w:pos="9000"/>
              </w:tabs>
              <w:spacing w:after="120"/>
              <w:ind w:left="0"/>
              <w:jc w:val="right"/>
              <w:rPr>
                <w:rFonts w:ascii="Times New Roman" w:hAnsi="Times New Roman"/>
                <w:sz w:val="20"/>
              </w:rPr>
            </w:pPr>
            <w:r w:rsidRPr="00FD1AA2">
              <w:rPr>
                <w:rFonts w:ascii="Times New Roman" w:hAnsi="Times New Roman"/>
                <w:sz w:val="20"/>
              </w:rPr>
              <w:t>-</w:t>
            </w:r>
          </w:p>
        </w:tc>
      </w:tr>
      <w:tr w:rsidR="00DA4DD8" w:rsidRPr="00FD1AA2" w:rsidTr="00DA4DD8">
        <w:trPr>
          <w:trHeight w:val="818"/>
        </w:trPr>
        <w:tc>
          <w:tcPr>
            <w:tcW w:w="838"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Supplementary Capital Adequacy Ratio (%)</w:t>
            </w:r>
          </w:p>
        </w:tc>
        <w:tc>
          <w:tcPr>
            <w:tcW w:w="567"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0.85</w:t>
            </w:r>
          </w:p>
        </w:tc>
        <w:tc>
          <w:tcPr>
            <w:tcW w:w="567"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1.30</w:t>
            </w:r>
          </w:p>
        </w:tc>
        <w:tc>
          <w:tcPr>
            <w:tcW w:w="623"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1.31</w:t>
            </w:r>
          </w:p>
        </w:tc>
        <w:tc>
          <w:tcPr>
            <w:tcW w:w="623"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0.88</w:t>
            </w:r>
          </w:p>
        </w:tc>
        <w:tc>
          <w:tcPr>
            <w:tcW w:w="623"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1.30</w:t>
            </w:r>
          </w:p>
        </w:tc>
        <w:tc>
          <w:tcPr>
            <w:tcW w:w="388" w:type="pct"/>
          </w:tcPr>
          <w:p w:rsidR="00DA4DD8" w:rsidRPr="00FD1AA2" w:rsidRDefault="00DA4DD8" w:rsidP="007A5296">
            <w:pPr>
              <w:pStyle w:val="ListParagraph"/>
              <w:widowControl w:val="0"/>
              <w:tabs>
                <w:tab w:val="left" w:pos="9000"/>
              </w:tabs>
              <w:spacing w:after="120"/>
              <w:ind w:left="0"/>
              <w:jc w:val="right"/>
              <w:rPr>
                <w:rFonts w:ascii="Times New Roman" w:hAnsi="Times New Roman"/>
                <w:sz w:val="20"/>
              </w:rPr>
            </w:pPr>
            <w:r w:rsidRPr="00FD1AA2">
              <w:rPr>
                <w:rFonts w:ascii="Times New Roman" w:hAnsi="Times New Roman"/>
                <w:sz w:val="20"/>
              </w:rPr>
              <w:t>1.13</w:t>
            </w:r>
          </w:p>
        </w:tc>
        <w:tc>
          <w:tcPr>
            <w:tcW w:w="385" w:type="pct"/>
          </w:tcPr>
          <w:p w:rsidR="00DA4DD8" w:rsidRPr="00FD1AA2" w:rsidRDefault="00DA4DD8" w:rsidP="007A5296">
            <w:pPr>
              <w:pStyle w:val="ListParagraph"/>
              <w:widowControl w:val="0"/>
              <w:tabs>
                <w:tab w:val="left" w:pos="9000"/>
              </w:tabs>
              <w:spacing w:after="120"/>
              <w:ind w:left="0"/>
              <w:jc w:val="right"/>
              <w:rPr>
                <w:rFonts w:ascii="Times New Roman" w:hAnsi="Times New Roman"/>
                <w:sz w:val="20"/>
              </w:rPr>
            </w:pPr>
            <w:r w:rsidRPr="00FD1AA2">
              <w:rPr>
                <w:rFonts w:ascii="Times New Roman" w:hAnsi="Times New Roman"/>
                <w:sz w:val="20"/>
              </w:rPr>
              <w:t>0.220</w:t>
            </w:r>
          </w:p>
        </w:tc>
        <w:tc>
          <w:tcPr>
            <w:tcW w:w="385" w:type="pct"/>
          </w:tcPr>
          <w:p w:rsidR="00DA4DD8" w:rsidRPr="00FD1AA2" w:rsidRDefault="00DA4DD8" w:rsidP="007A5296">
            <w:pPr>
              <w:pStyle w:val="ListParagraph"/>
              <w:widowControl w:val="0"/>
              <w:tabs>
                <w:tab w:val="left" w:pos="9000"/>
              </w:tabs>
              <w:spacing w:after="120"/>
              <w:ind w:left="0"/>
              <w:jc w:val="right"/>
              <w:rPr>
                <w:rFonts w:ascii="Times New Roman" w:hAnsi="Times New Roman"/>
                <w:sz w:val="20"/>
              </w:rPr>
            </w:pPr>
            <w:r w:rsidRPr="00FD1AA2">
              <w:rPr>
                <w:rFonts w:ascii="Times New Roman" w:hAnsi="Times New Roman"/>
                <w:sz w:val="20"/>
              </w:rPr>
              <w:t>19.47</w:t>
            </w:r>
          </w:p>
        </w:tc>
      </w:tr>
      <w:tr w:rsidR="00DA4DD8" w:rsidRPr="00FD1AA2" w:rsidTr="00DA4DD8">
        <w:tc>
          <w:tcPr>
            <w:tcW w:w="838"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NRB Standard (not more than core capital adequacy ratio)</w:t>
            </w:r>
          </w:p>
        </w:tc>
        <w:tc>
          <w:tcPr>
            <w:tcW w:w="567"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11.94</w:t>
            </w:r>
          </w:p>
        </w:tc>
        <w:tc>
          <w:tcPr>
            <w:tcW w:w="567"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10.68</w:t>
            </w:r>
          </w:p>
        </w:tc>
        <w:tc>
          <w:tcPr>
            <w:tcW w:w="623"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10.97</w:t>
            </w:r>
          </w:p>
        </w:tc>
        <w:tc>
          <w:tcPr>
            <w:tcW w:w="623"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10.96</w:t>
            </w:r>
          </w:p>
        </w:tc>
        <w:tc>
          <w:tcPr>
            <w:tcW w:w="623"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9.94</w:t>
            </w:r>
          </w:p>
        </w:tc>
        <w:tc>
          <w:tcPr>
            <w:tcW w:w="388" w:type="pct"/>
          </w:tcPr>
          <w:p w:rsidR="00DA4DD8" w:rsidRPr="00FD1AA2" w:rsidRDefault="00DA4DD8" w:rsidP="007A5296">
            <w:pPr>
              <w:pStyle w:val="ListParagraph"/>
              <w:widowControl w:val="0"/>
              <w:tabs>
                <w:tab w:val="left" w:pos="9000"/>
              </w:tabs>
              <w:spacing w:after="120"/>
              <w:ind w:left="0"/>
              <w:jc w:val="right"/>
              <w:rPr>
                <w:rFonts w:ascii="Times New Roman" w:hAnsi="Times New Roman"/>
                <w:sz w:val="20"/>
              </w:rPr>
            </w:pPr>
            <w:r w:rsidRPr="00FD1AA2">
              <w:rPr>
                <w:rFonts w:ascii="Times New Roman" w:hAnsi="Times New Roman"/>
                <w:sz w:val="20"/>
              </w:rPr>
              <w:t>-</w:t>
            </w:r>
          </w:p>
        </w:tc>
        <w:tc>
          <w:tcPr>
            <w:tcW w:w="385" w:type="pct"/>
          </w:tcPr>
          <w:p w:rsidR="00DA4DD8" w:rsidRPr="00FD1AA2" w:rsidRDefault="00DA4DD8" w:rsidP="007A5296">
            <w:pPr>
              <w:pStyle w:val="ListParagraph"/>
              <w:widowControl w:val="0"/>
              <w:tabs>
                <w:tab w:val="left" w:pos="9000"/>
              </w:tabs>
              <w:spacing w:after="120"/>
              <w:ind w:left="0"/>
              <w:jc w:val="right"/>
              <w:rPr>
                <w:rFonts w:ascii="Times New Roman" w:hAnsi="Times New Roman"/>
                <w:sz w:val="20"/>
              </w:rPr>
            </w:pPr>
            <w:r w:rsidRPr="00FD1AA2">
              <w:rPr>
                <w:rFonts w:ascii="Times New Roman" w:hAnsi="Times New Roman"/>
                <w:sz w:val="20"/>
              </w:rPr>
              <w:t>-</w:t>
            </w:r>
          </w:p>
        </w:tc>
        <w:tc>
          <w:tcPr>
            <w:tcW w:w="385" w:type="pct"/>
          </w:tcPr>
          <w:p w:rsidR="00DA4DD8" w:rsidRPr="00FD1AA2" w:rsidRDefault="00DA4DD8" w:rsidP="007A5296">
            <w:pPr>
              <w:pStyle w:val="ListParagraph"/>
              <w:widowControl w:val="0"/>
              <w:tabs>
                <w:tab w:val="left" w:pos="9000"/>
              </w:tabs>
              <w:spacing w:after="120"/>
              <w:ind w:left="0"/>
              <w:jc w:val="right"/>
              <w:rPr>
                <w:rFonts w:ascii="Times New Roman" w:hAnsi="Times New Roman"/>
                <w:sz w:val="20"/>
              </w:rPr>
            </w:pPr>
            <w:r w:rsidRPr="00FD1AA2">
              <w:rPr>
                <w:rFonts w:ascii="Times New Roman" w:hAnsi="Times New Roman"/>
                <w:sz w:val="20"/>
              </w:rPr>
              <w:t>-</w:t>
            </w:r>
          </w:p>
        </w:tc>
      </w:tr>
      <w:tr w:rsidR="00DA4DD8" w:rsidRPr="00FD1AA2" w:rsidTr="00DA4DD8">
        <w:tc>
          <w:tcPr>
            <w:tcW w:w="838"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Excess/ Short (%)</w:t>
            </w:r>
          </w:p>
        </w:tc>
        <w:tc>
          <w:tcPr>
            <w:tcW w:w="567"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-11.09</w:t>
            </w:r>
          </w:p>
        </w:tc>
        <w:tc>
          <w:tcPr>
            <w:tcW w:w="567"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-9.38</w:t>
            </w:r>
          </w:p>
        </w:tc>
        <w:tc>
          <w:tcPr>
            <w:tcW w:w="623"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-9.66</w:t>
            </w:r>
          </w:p>
        </w:tc>
        <w:tc>
          <w:tcPr>
            <w:tcW w:w="623"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-10.08</w:t>
            </w:r>
          </w:p>
        </w:tc>
        <w:tc>
          <w:tcPr>
            <w:tcW w:w="623" w:type="pct"/>
          </w:tcPr>
          <w:p w:rsidR="00DA4DD8" w:rsidRPr="00FD1AA2" w:rsidRDefault="00DA4DD8" w:rsidP="007A5296">
            <w:pPr>
              <w:spacing w:after="120"/>
              <w:rPr>
                <w:rFonts w:ascii="Times New Roman" w:hAnsi="Times New Roman"/>
                <w:sz w:val="20"/>
              </w:rPr>
            </w:pPr>
            <w:r w:rsidRPr="00FD1AA2">
              <w:rPr>
                <w:rFonts w:ascii="Times New Roman" w:hAnsi="Times New Roman"/>
                <w:sz w:val="20"/>
              </w:rPr>
              <w:t>-8.64</w:t>
            </w:r>
          </w:p>
        </w:tc>
        <w:tc>
          <w:tcPr>
            <w:tcW w:w="388" w:type="pct"/>
          </w:tcPr>
          <w:p w:rsidR="00DA4DD8" w:rsidRPr="00FD1AA2" w:rsidRDefault="00DA4DD8" w:rsidP="007A5296">
            <w:pPr>
              <w:pStyle w:val="ListParagraph"/>
              <w:widowControl w:val="0"/>
              <w:tabs>
                <w:tab w:val="left" w:pos="9000"/>
              </w:tabs>
              <w:spacing w:after="120"/>
              <w:ind w:left="0"/>
              <w:jc w:val="right"/>
              <w:rPr>
                <w:rFonts w:ascii="Times New Roman" w:hAnsi="Times New Roman"/>
                <w:sz w:val="20"/>
              </w:rPr>
            </w:pPr>
            <w:r w:rsidRPr="00FD1AA2">
              <w:rPr>
                <w:rFonts w:ascii="Times New Roman" w:hAnsi="Times New Roman"/>
                <w:sz w:val="20"/>
              </w:rPr>
              <w:t>-</w:t>
            </w:r>
          </w:p>
        </w:tc>
        <w:tc>
          <w:tcPr>
            <w:tcW w:w="385" w:type="pct"/>
          </w:tcPr>
          <w:p w:rsidR="00DA4DD8" w:rsidRPr="00FD1AA2" w:rsidRDefault="00DA4DD8" w:rsidP="007A5296">
            <w:pPr>
              <w:pStyle w:val="ListParagraph"/>
              <w:widowControl w:val="0"/>
              <w:tabs>
                <w:tab w:val="left" w:pos="9000"/>
              </w:tabs>
              <w:spacing w:after="120"/>
              <w:ind w:left="0"/>
              <w:jc w:val="right"/>
              <w:rPr>
                <w:rFonts w:ascii="Times New Roman" w:hAnsi="Times New Roman"/>
                <w:sz w:val="20"/>
              </w:rPr>
            </w:pPr>
            <w:r w:rsidRPr="00FD1AA2">
              <w:rPr>
                <w:rFonts w:ascii="Times New Roman" w:hAnsi="Times New Roman"/>
                <w:sz w:val="20"/>
              </w:rPr>
              <w:t>-</w:t>
            </w:r>
          </w:p>
        </w:tc>
        <w:tc>
          <w:tcPr>
            <w:tcW w:w="385" w:type="pct"/>
          </w:tcPr>
          <w:p w:rsidR="00DA4DD8" w:rsidRPr="00FD1AA2" w:rsidRDefault="00DA4DD8" w:rsidP="007A5296">
            <w:pPr>
              <w:pStyle w:val="ListParagraph"/>
              <w:widowControl w:val="0"/>
              <w:tabs>
                <w:tab w:val="left" w:pos="9000"/>
              </w:tabs>
              <w:spacing w:after="120"/>
              <w:ind w:left="0"/>
              <w:jc w:val="right"/>
              <w:rPr>
                <w:rFonts w:ascii="Times New Roman" w:hAnsi="Times New Roman"/>
                <w:sz w:val="20"/>
              </w:rPr>
            </w:pPr>
            <w:r w:rsidRPr="00FD1AA2">
              <w:rPr>
                <w:rFonts w:ascii="Times New Roman" w:hAnsi="Times New Roman"/>
                <w:sz w:val="20"/>
              </w:rPr>
              <w:t>-</w:t>
            </w:r>
          </w:p>
        </w:tc>
      </w:tr>
    </w:tbl>
    <w:p w:rsidR="00DA4DD8" w:rsidRPr="00FD5D64" w:rsidRDefault="00DA4DD8" w:rsidP="00FD1AA2">
      <w:pPr>
        <w:spacing w:after="240" w:line="360" w:lineRule="auto"/>
        <w:rPr>
          <w:rFonts w:ascii="Times New Roman" w:hAnsi="Times New Roman"/>
          <w:i/>
        </w:rPr>
      </w:pPr>
      <w:r w:rsidRPr="00FD5D64">
        <w:rPr>
          <w:rFonts w:ascii="Times New Roman" w:hAnsi="Times New Roman"/>
          <w:i/>
        </w:rPr>
        <w:t>Source: Annual Reports of MBL</w:t>
      </w:r>
    </w:p>
    <w:p w:rsidR="00DA4DD8" w:rsidRPr="00FD1AA2" w:rsidRDefault="00DA4DD8" w:rsidP="00FD1AA2">
      <w:pPr>
        <w:widowControl w:val="0"/>
        <w:tabs>
          <w:tab w:val="left" w:pos="9000"/>
        </w:tabs>
        <w:spacing w:after="240" w:line="360" w:lineRule="auto"/>
        <w:jc w:val="center"/>
        <w:rPr>
          <w:rFonts w:ascii="Times New Roman" w:hAnsi="Times New Roman"/>
          <w:b/>
        </w:rPr>
      </w:pPr>
    </w:p>
    <w:p w:rsidR="006D0E94" w:rsidRDefault="006D0E94">
      <w:pPr>
        <w:spacing w:after="200" w:line="276" w:lineRule="auto"/>
        <w:rPr>
          <w:rFonts w:ascii="Times New Roman" w:hAnsi="Times New Roman"/>
          <w:b/>
        </w:rPr>
      </w:pPr>
      <w:r>
        <w:rPr>
          <w:rFonts w:ascii="Times New Roman" w:hAnsi="Times New Roman"/>
          <w:b/>
        </w:rPr>
        <w:br w:type="page"/>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lastRenderedPageBreak/>
        <w:t>Figure</w:t>
      </w:r>
      <w:r w:rsidR="00FD5D64">
        <w:rPr>
          <w:rFonts w:ascii="Times New Roman" w:hAnsi="Times New Roman"/>
          <w:b/>
        </w:rPr>
        <w:t xml:space="preserve"> :</w:t>
      </w:r>
      <w:r w:rsidRPr="00FD1AA2">
        <w:rPr>
          <w:rFonts w:ascii="Times New Roman" w:hAnsi="Times New Roman"/>
          <w:b/>
        </w:rPr>
        <w:t xml:space="preserve"> 4.2</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 xml:space="preserve">Comparing Supplementary Capital Adequacy Ratio with NRB Standard </w:t>
      </w:r>
    </w:p>
    <w:p w:rsidR="00DA4DD8" w:rsidRPr="00FD1AA2" w:rsidRDefault="009A308E" w:rsidP="00FD1AA2">
      <w:pPr>
        <w:widowControl w:val="0"/>
        <w:tabs>
          <w:tab w:val="left" w:pos="9000"/>
        </w:tabs>
        <w:spacing w:after="240" w:line="360" w:lineRule="auto"/>
        <w:jc w:val="center"/>
        <w:rPr>
          <w:rFonts w:ascii="Times New Roman" w:hAnsi="Times New Roman"/>
          <w:b/>
        </w:rPr>
      </w:pPr>
      <w:r>
        <w:rPr>
          <w:rFonts w:ascii="Times New Roman" w:hAnsi="Times New Roman"/>
          <w:b/>
          <w:noProof/>
          <w:lang w:bidi="ar-SA"/>
        </w:rPr>
        <w:drawing>
          <wp:inline distT="0" distB="0" distL="0" distR="0">
            <wp:extent cx="5280243" cy="2804615"/>
            <wp:effectExtent l="19050" t="0" r="15657" b="0"/>
            <wp:docPr id="47"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A4DD8" w:rsidRPr="00FD1AA2" w:rsidRDefault="00DA4DD8" w:rsidP="00FD1AA2">
      <w:pPr>
        <w:widowControl w:val="0"/>
        <w:tabs>
          <w:tab w:val="left" w:pos="9000"/>
        </w:tabs>
        <w:spacing w:after="240" w:line="360" w:lineRule="auto"/>
        <w:jc w:val="both"/>
        <w:rPr>
          <w:rFonts w:ascii="Times New Roman" w:hAnsi="Times New Roman"/>
        </w:rPr>
      </w:pPr>
      <w:r w:rsidRPr="00FD1AA2">
        <w:rPr>
          <w:rFonts w:ascii="Times New Roman" w:hAnsi="Times New Roman"/>
        </w:rPr>
        <w:t>The above table and figure 4.2 shows SCAR of MBL for the study period 0.85%,</w:t>
      </w:r>
      <w:r w:rsidR="00242AAE">
        <w:rPr>
          <w:rFonts w:ascii="Times New Roman" w:hAnsi="Times New Roman"/>
        </w:rPr>
        <w:t xml:space="preserve"> </w:t>
      </w:r>
      <w:r w:rsidRPr="00FD1AA2">
        <w:rPr>
          <w:rFonts w:ascii="Times New Roman" w:hAnsi="Times New Roman"/>
        </w:rPr>
        <w:t>1.30%,</w:t>
      </w:r>
      <w:r w:rsidR="00242AAE">
        <w:rPr>
          <w:rFonts w:ascii="Times New Roman" w:hAnsi="Times New Roman"/>
        </w:rPr>
        <w:t xml:space="preserve"> </w:t>
      </w:r>
      <w:r w:rsidRPr="00FD1AA2">
        <w:rPr>
          <w:rFonts w:ascii="Times New Roman" w:hAnsi="Times New Roman"/>
        </w:rPr>
        <w:t>1.31%,</w:t>
      </w:r>
      <w:r w:rsidR="00242AAE">
        <w:rPr>
          <w:rFonts w:ascii="Times New Roman" w:hAnsi="Times New Roman"/>
        </w:rPr>
        <w:t xml:space="preserve"> </w:t>
      </w:r>
      <w:r w:rsidRPr="00FD1AA2">
        <w:rPr>
          <w:rFonts w:ascii="Times New Roman" w:hAnsi="Times New Roman"/>
        </w:rPr>
        <w:t>0.88% and 1.30%.</w:t>
      </w:r>
      <w:r w:rsidR="00242AAE">
        <w:rPr>
          <w:rFonts w:ascii="Times New Roman" w:hAnsi="Times New Roman"/>
        </w:rPr>
        <w:t xml:space="preserve"> </w:t>
      </w:r>
      <w:r w:rsidRPr="00FD1AA2">
        <w:rPr>
          <w:rFonts w:ascii="Times New Roman" w:hAnsi="Times New Roman"/>
        </w:rPr>
        <w:t xml:space="preserve">The Supplementary capital ratio of MBL is range from minimum of 0.85% in FY 2062/063 to maximum of 1.31% in FY 2064/065 over the study period. The average ratio of supplementary capital adequacy ratio is 1.15% standard deviation is 0.22 and coefficient of variation (CV) is 19.47%. However, the supplementary capital ratio of MBL is within boundary of NRB standard over the study period. Thus, it is clear that the Supplementary capital ratio of the MBL is increasing tendency up to FY 2064/065 and decreased in FY 2065/066 and thereafter ratio is increased in FY 2066/067. </w:t>
      </w:r>
    </w:p>
    <w:p w:rsidR="00DA4DD8" w:rsidRPr="006E07FC" w:rsidRDefault="006E07FC" w:rsidP="006E07FC">
      <w:pPr>
        <w:widowControl w:val="0"/>
        <w:spacing w:after="240" w:line="360" w:lineRule="auto"/>
        <w:jc w:val="both"/>
        <w:rPr>
          <w:rFonts w:ascii="Times New Roman" w:hAnsi="Times New Roman"/>
          <w:b/>
        </w:rPr>
      </w:pPr>
      <w:r>
        <w:rPr>
          <w:rFonts w:ascii="Times New Roman" w:hAnsi="Times New Roman"/>
          <w:b/>
          <w:sz w:val="22"/>
        </w:rPr>
        <w:t>3)</w:t>
      </w:r>
      <w:r>
        <w:rPr>
          <w:rFonts w:ascii="Times New Roman" w:hAnsi="Times New Roman"/>
          <w:b/>
          <w:sz w:val="22"/>
        </w:rPr>
        <w:tab/>
      </w:r>
      <w:r w:rsidR="00242AAE" w:rsidRPr="006E07FC">
        <w:rPr>
          <w:rFonts w:ascii="Times New Roman" w:hAnsi="Times New Roman"/>
          <w:b/>
        </w:rPr>
        <w:t>Total Capital A</w:t>
      </w:r>
      <w:r w:rsidR="00DA4DD8" w:rsidRPr="006E07FC">
        <w:rPr>
          <w:rFonts w:ascii="Times New Roman" w:hAnsi="Times New Roman"/>
          <w:b/>
        </w:rPr>
        <w:t>dequacy Ratio</w:t>
      </w:r>
    </w:p>
    <w:p w:rsidR="00DA4DD8" w:rsidRPr="00FD1AA2" w:rsidRDefault="00DA4DD8" w:rsidP="00FD1AA2">
      <w:pPr>
        <w:pStyle w:val="ListParagraph"/>
        <w:widowControl w:val="0"/>
        <w:tabs>
          <w:tab w:val="left" w:pos="9000"/>
        </w:tabs>
        <w:spacing w:after="240" w:line="360" w:lineRule="auto"/>
        <w:ind w:left="0"/>
        <w:jc w:val="both"/>
        <w:rPr>
          <w:rFonts w:ascii="Times New Roman" w:hAnsi="Times New Roman"/>
        </w:rPr>
      </w:pPr>
      <w:r w:rsidRPr="00FD1AA2">
        <w:rPr>
          <w:rFonts w:ascii="Times New Roman" w:hAnsi="Times New Roman"/>
        </w:rPr>
        <w:t>Total capital fund means the amount invested by shareholders, creditors and the amount collects from the various free reserve maintained in the company. Capital fund include the amount of core capital and supplementary capital. Strong capital base is the pre-requisite for the safety and soundness of any company (</w:t>
      </w:r>
      <w:r w:rsidR="00DF5E8C">
        <w:rPr>
          <w:rFonts w:ascii="Times New Roman" w:hAnsi="Times New Roman"/>
        </w:rPr>
        <w:t>B</w:t>
      </w:r>
      <w:r w:rsidRPr="00FD1AA2">
        <w:rPr>
          <w:rFonts w:ascii="Times New Roman" w:hAnsi="Times New Roman"/>
        </w:rPr>
        <w:t>aral,</w:t>
      </w:r>
      <w:r w:rsidR="00C524BD">
        <w:rPr>
          <w:rFonts w:ascii="Times New Roman" w:hAnsi="Times New Roman"/>
        </w:rPr>
        <w:t xml:space="preserve"> </w:t>
      </w:r>
      <w:r w:rsidR="0087189B">
        <w:rPr>
          <w:rFonts w:ascii="Times New Roman" w:hAnsi="Times New Roman"/>
        </w:rPr>
        <w:t>2005</w:t>
      </w:r>
      <w:r w:rsidR="00E83041">
        <w:rPr>
          <w:rFonts w:ascii="Times New Roman" w:hAnsi="Times New Roman"/>
        </w:rPr>
        <w:t>:</w:t>
      </w:r>
      <w:r w:rsidR="00C524BD">
        <w:rPr>
          <w:rFonts w:ascii="Times New Roman" w:hAnsi="Times New Roman"/>
        </w:rPr>
        <w:t xml:space="preserve"> </w:t>
      </w:r>
      <w:r w:rsidRPr="00FD1AA2">
        <w:rPr>
          <w:rFonts w:ascii="Times New Roman" w:hAnsi="Times New Roman"/>
        </w:rPr>
        <w:t>43).Capital adequacy ratio above the NRB standard indicates adequacy of capital and signifies higher security to depositors, higher internal source and higher ability to cushion operational and unanticipated losses.</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lastRenderedPageBreak/>
        <w:t xml:space="preserve">Table </w:t>
      </w:r>
      <w:r w:rsidR="009113C4">
        <w:rPr>
          <w:rFonts w:ascii="Times New Roman" w:hAnsi="Times New Roman"/>
          <w:b/>
        </w:rPr>
        <w:t xml:space="preserve">: </w:t>
      </w:r>
      <w:r w:rsidRPr="00FD1AA2">
        <w:rPr>
          <w:rFonts w:ascii="Times New Roman" w:hAnsi="Times New Roman"/>
          <w:b/>
        </w:rPr>
        <w:t>4.3</w:t>
      </w:r>
    </w:p>
    <w:p w:rsidR="00DA4DD8" w:rsidRPr="00FD1AA2" w:rsidRDefault="00E83041" w:rsidP="00FD1AA2">
      <w:pPr>
        <w:widowControl w:val="0"/>
        <w:tabs>
          <w:tab w:val="left" w:pos="9000"/>
        </w:tabs>
        <w:spacing w:after="240" w:line="360" w:lineRule="auto"/>
        <w:jc w:val="center"/>
        <w:rPr>
          <w:rFonts w:ascii="Times New Roman" w:hAnsi="Times New Roman"/>
          <w:b/>
        </w:rPr>
      </w:pPr>
      <w:r>
        <w:rPr>
          <w:rFonts w:ascii="Times New Roman" w:hAnsi="Times New Roman"/>
          <w:b/>
        </w:rPr>
        <w:t>Capital A</w:t>
      </w:r>
      <w:r w:rsidR="00DA4DD8" w:rsidRPr="00FD1AA2">
        <w:rPr>
          <w:rFonts w:ascii="Times New Roman" w:hAnsi="Times New Roman"/>
          <w:b/>
        </w:rPr>
        <w:t>dequacy Ratio</w:t>
      </w:r>
    </w:p>
    <w:tbl>
      <w:tblPr>
        <w:tblW w:w="5965" w:type="pct"/>
        <w:jc w:val="center"/>
        <w:tblInd w:w="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60"/>
        <w:gridCol w:w="1123"/>
        <w:gridCol w:w="1123"/>
        <w:gridCol w:w="1237"/>
        <w:gridCol w:w="1237"/>
        <w:gridCol w:w="1237"/>
        <w:gridCol w:w="763"/>
        <w:gridCol w:w="744"/>
        <w:gridCol w:w="746"/>
      </w:tblGrid>
      <w:tr w:rsidR="00DA4DD8" w:rsidRPr="00FD1AA2" w:rsidTr="00C41E72">
        <w:trPr>
          <w:jc w:val="center"/>
        </w:trPr>
        <w:tc>
          <w:tcPr>
            <w:tcW w:w="964" w:type="pct"/>
          </w:tcPr>
          <w:p w:rsidR="00DA4DD8" w:rsidRPr="00FD1AA2" w:rsidRDefault="00DA4DD8" w:rsidP="00E83041">
            <w:pPr>
              <w:spacing w:line="360" w:lineRule="auto"/>
              <w:jc w:val="center"/>
              <w:rPr>
                <w:rFonts w:ascii="Times New Roman" w:hAnsi="Times New Roman"/>
              </w:rPr>
            </w:pPr>
            <w:r w:rsidRPr="00FD1AA2">
              <w:rPr>
                <w:rFonts w:ascii="Times New Roman" w:hAnsi="Times New Roman"/>
              </w:rPr>
              <w:t>Fiscal year</w:t>
            </w:r>
          </w:p>
        </w:tc>
        <w:tc>
          <w:tcPr>
            <w:tcW w:w="552" w:type="pct"/>
          </w:tcPr>
          <w:p w:rsidR="00DA4DD8" w:rsidRPr="00FD1AA2" w:rsidRDefault="00DA4DD8" w:rsidP="00E83041">
            <w:pPr>
              <w:spacing w:line="360" w:lineRule="auto"/>
              <w:jc w:val="center"/>
              <w:rPr>
                <w:rFonts w:ascii="Times New Roman" w:hAnsi="Times New Roman"/>
              </w:rPr>
            </w:pPr>
            <w:r w:rsidRPr="00FD1AA2">
              <w:rPr>
                <w:rFonts w:ascii="Times New Roman" w:hAnsi="Times New Roman"/>
              </w:rPr>
              <w:t>2062/063</w:t>
            </w:r>
          </w:p>
        </w:tc>
        <w:tc>
          <w:tcPr>
            <w:tcW w:w="552" w:type="pct"/>
          </w:tcPr>
          <w:p w:rsidR="00DA4DD8" w:rsidRPr="00FD1AA2" w:rsidRDefault="00DA4DD8" w:rsidP="00E83041">
            <w:pPr>
              <w:spacing w:line="360" w:lineRule="auto"/>
              <w:jc w:val="center"/>
              <w:rPr>
                <w:rFonts w:ascii="Times New Roman" w:hAnsi="Times New Roman"/>
              </w:rPr>
            </w:pPr>
            <w:r w:rsidRPr="00FD1AA2">
              <w:rPr>
                <w:rFonts w:ascii="Times New Roman" w:hAnsi="Times New Roman"/>
              </w:rPr>
              <w:t>2063/064</w:t>
            </w:r>
          </w:p>
        </w:tc>
        <w:tc>
          <w:tcPr>
            <w:tcW w:w="608" w:type="pct"/>
          </w:tcPr>
          <w:p w:rsidR="00DA4DD8" w:rsidRPr="00FD1AA2" w:rsidRDefault="00DA4DD8" w:rsidP="00E83041">
            <w:pPr>
              <w:spacing w:line="360" w:lineRule="auto"/>
              <w:jc w:val="center"/>
              <w:rPr>
                <w:rFonts w:ascii="Times New Roman" w:hAnsi="Times New Roman"/>
              </w:rPr>
            </w:pPr>
            <w:r w:rsidRPr="00FD1AA2">
              <w:rPr>
                <w:rFonts w:ascii="Times New Roman" w:hAnsi="Times New Roman"/>
              </w:rPr>
              <w:t>2064/065</w:t>
            </w:r>
          </w:p>
        </w:tc>
        <w:tc>
          <w:tcPr>
            <w:tcW w:w="608" w:type="pct"/>
          </w:tcPr>
          <w:p w:rsidR="00DA4DD8" w:rsidRPr="00FD1AA2" w:rsidRDefault="00DA4DD8" w:rsidP="00E83041">
            <w:pPr>
              <w:spacing w:line="360" w:lineRule="auto"/>
              <w:jc w:val="center"/>
              <w:rPr>
                <w:rFonts w:ascii="Times New Roman" w:hAnsi="Times New Roman"/>
              </w:rPr>
            </w:pPr>
            <w:r w:rsidRPr="00FD1AA2">
              <w:rPr>
                <w:rFonts w:ascii="Times New Roman" w:hAnsi="Times New Roman"/>
              </w:rPr>
              <w:t>2065/066</w:t>
            </w:r>
          </w:p>
        </w:tc>
        <w:tc>
          <w:tcPr>
            <w:tcW w:w="608" w:type="pct"/>
          </w:tcPr>
          <w:p w:rsidR="00DA4DD8" w:rsidRPr="00FD1AA2" w:rsidRDefault="00DA4DD8" w:rsidP="00E83041">
            <w:pPr>
              <w:spacing w:line="360" w:lineRule="auto"/>
              <w:jc w:val="center"/>
              <w:rPr>
                <w:rFonts w:ascii="Times New Roman" w:hAnsi="Times New Roman"/>
              </w:rPr>
            </w:pPr>
            <w:r w:rsidRPr="00FD1AA2">
              <w:rPr>
                <w:rFonts w:ascii="Times New Roman" w:hAnsi="Times New Roman"/>
              </w:rPr>
              <w:t>2066/067</w:t>
            </w:r>
          </w:p>
        </w:tc>
        <w:tc>
          <w:tcPr>
            <w:tcW w:w="375" w:type="pct"/>
          </w:tcPr>
          <w:p w:rsidR="00DA4DD8" w:rsidRPr="00FD1AA2" w:rsidRDefault="00DA4DD8" w:rsidP="00E83041">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 xml:space="preserve">Mean </w:t>
            </w:r>
          </w:p>
        </w:tc>
        <w:tc>
          <w:tcPr>
            <w:tcW w:w="366" w:type="pct"/>
          </w:tcPr>
          <w:p w:rsidR="00DA4DD8" w:rsidRPr="00FD1AA2" w:rsidRDefault="00DA4DD8" w:rsidP="00E83041">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 xml:space="preserve">S.D </w:t>
            </w:r>
          </w:p>
        </w:tc>
        <w:tc>
          <w:tcPr>
            <w:tcW w:w="368" w:type="pct"/>
          </w:tcPr>
          <w:p w:rsidR="00DA4DD8" w:rsidRPr="00FD1AA2" w:rsidRDefault="00DA4DD8" w:rsidP="00E83041">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CV</w:t>
            </w:r>
          </w:p>
        </w:tc>
      </w:tr>
      <w:tr w:rsidR="00DA4DD8" w:rsidRPr="00FD1AA2" w:rsidTr="00C41E72">
        <w:trPr>
          <w:jc w:val="center"/>
        </w:trPr>
        <w:tc>
          <w:tcPr>
            <w:tcW w:w="964" w:type="pct"/>
          </w:tcPr>
          <w:p w:rsidR="00DA4DD8" w:rsidRPr="00FD1AA2" w:rsidRDefault="00DA4DD8" w:rsidP="00BC1D45">
            <w:pPr>
              <w:spacing w:line="360" w:lineRule="auto"/>
              <w:rPr>
                <w:rFonts w:ascii="Times New Roman" w:hAnsi="Times New Roman"/>
              </w:rPr>
            </w:pPr>
            <w:r w:rsidRPr="00FD1AA2">
              <w:rPr>
                <w:rFonts w:ascii="Times New Roman" w:hAnsi="Times New Roman"/>
              </w:rPr>
              <w:t xml:space="preserve">Total Capital </w:t>
            </w:r>
          </w:p>
          <w:p w:rsidR="00DA4DD8" w:rsidRPr="00FD1AA2" w:rsidRDefault="00DA4DD8" w:rsidP="00BC1D45">
            <w:pPr>
              <w:spacing w:line="360" w:lineRule="auto"/>
              <w:rPr>
                <w:rFonts w:ascii="Times New Roman" w:hAnsi="Times New Roman"/>
              </w:rPr>
            </w:pPr>
            <w:r w:rsidRPr="00FD1AA2">
              <w:rPr>
                <w:rFonts w:ascii="Times New Roman" w:hAnsi="Times New Roman"/>
              </w:rPr>
              <w:t>(in million)</w:t>
            </w:r>
          </w:p>
        </w:tc>
        <w:tc>
          <w:tcPr>
            <w:tcW w:w="552"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976.067</w:t>
            </w:r>
          </w:p>
        </w:tc>
        <w:tc>
          <w:tcPr>
            <w:tcW w:w="552"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1101.726</w:t>
            </w:r>
          </w:p>
        </w:tc>
        <w:tc>
          <w:tcPr>
            <w:tcW w:w="608"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1279.796</w:t>
            </w:r>
          </w:p>
        </w:tc>
        <w:tc>
          <w:tcPr>
            <w:tcW w:w="608"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1811.869</w:t>
            </w:r>
          </w:p>
        </w:tc>
        <w:tc>
          <w:tcPr>
            <w:tcW w:w="608"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1979.554</w:t>
            </w:r>
          </w:p>
        </w:tc>
        <w:tc>
          <w:tcPr>
            <w:tcW w:w="375" w:type="pct"/>
          </w:tcPr>
          <w:p w:rsidR="00DA4DD8" w:rsidRPr="00FD1AA2" w:rsidRDefault="00DA4DD8" w:rsidP="00E83041">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c>
          <w:tcPr>
            <w:tcW w:w="366" w:type="pct"/>
          </w:tcPr>
          <w:p w:rsidR="00DA4DD8" w:rsidRPr="00FD1AA2" w:rsidRDefault="00DA4DD8" w:rsidP="00E83041">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c>
          <w:tcPr>
            <w:tcW w:w="368" w:type="pct"/>
          </w:tcPr>
          <w:p w:rsidR="00DA4DD8" w:rsidRPr="00FD1AA2" w:rsidRDefault="00DA4DD8" w:rsidP="00E83041">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r>
      <w:tr w:rsidR="00DA4DD8" w:rsidRPr="00FD1AA2" w:rsidTr="00C41E72">
        <w:trPr>
          <w:jc w:val="center"/>
        </w:trPr>
        <w:tc>
          <w:tcPr>
            <w:tcW w:w="964" w:type="pct"/>
          </w:tcPr>
          <w:p w:rsidR="00DA4DD8" w:rsidRPr="00FD1AA2" w:rsidRDefault="00DA4DD8" w:rsidP="00BC1D45">
            <w:pPr>
              <w:spacing w:line="360" w:lineRule="auto"/>
              <w:rPr>
                <w:rFonts w:ascii="Times New Roman" w:hAnsi="Times New Roman"/>
              </w:rPr>
            </w:pPr>
            <w:r w:rsidRPr="00FD1AA2">
              <w:rPr>
                <w:rFonts w:ascii="Times New Roman" w:hAnsi="Times New Roman"/>
              </w:rPr>
              <w:t>RWA (in million)</w:t>
            </w:r>
          </w:p>
        </w:tc>
        <w:tc>
          <w:tcPr>
            <w:tcW w:w="552"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7631.998</w:t>
            </w:r>
          </w:p>
        </w:tc>
        <w:tc>
          <w:tcPr>
            <w:tcW w:w="552"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9200.656</w:t>
            </w:r>
          </w:p>
        </w:tc>
        <w:tc>
          <w:tcPr>
            <w:tcW w:w="608"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10417.064</w:t>
            </w:r>
          </w:p>
        </w:tc>
        <w:tc>
          <w:tcPr>
            <w:tcW w:w="608"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15298.217</w:t>
            </w:r>
          </w:p>
        </w:tc>
        <w:tc>
          <w:tcPr>
            <w:tcW w:w="608"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17609.185</w:t>
            </w:r>
          </w:p>
        </w:tc>
        <w:tc>
          <w:tcPr>
            <w:tcW w:w="375" w:type="pct"/>
          </w:tcPr>
          <w:p w:rsidR="00DA4DD8" w:rsidRPr="00FD1AA2" w:rsidRDefault="00DA4DD8" w:rsidP="00E83041">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c>
          <w:tcPr>
            <w:tcW w:w="366" w:type="pct"/>
          </w:tcPr>
          <w:p w:rsidR="00DA4DD8" w:rsidRPr="00FD1AA2" w:rsidRDefault="00DA4DD8" w:rsidP="00E83041">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c>
          <w:tcPr>
            <w:tcW w:w="368" w:type="pct"/>
          </w:tcPr>
          <w:p w:rsidR="00DA4DD8" w:rsidRPr="00FD1AA2" w:rsidRDefault="00DA4DD8" w:rsidP="00E83041">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r>
      <w:tr w:rsidR="00DA4DD8" w:rsidRPr="00FD1AA2" w:rsidTr="00C41E72">
        <w:trPr>
          <w:jc w:val="center"/>
        </w:trPr>
        <w:tc>
          <w:tcPr>
            <w:tcW w:w="964" w:type="pct"/>
          </w:tcPr>
          <w:p w:rsidR="00DA4DD8" w:rsidRPr="00FD1AA2" w:rsidRDefault="00DA4DD8" w:rsidP="00BC1D45">
            <w:pPr>
              <w:spacing w:line="360" w:lineRule="auto"/>
              <w:rPr>
                <w:rFonts w:ascii="Times New Roman" w:hAnsi="Times New Roman"/>
              </w:rPr>
            </w:pPr>
            <w:r w:rsidRPr="00FD1AA2">
              <w:rPr>
                <w:rFonts w:ascii="Times New Roman" w:hAnsi="Times New Roman"/>
              </w:rPr>
              <w:t>Capital Adequacy Ratio (%)</w:t>
            </w:r>
          </w:p>
        </w:tc>
        <w:tc>
          <w:tcPr>
            <w:tcW w:w="552"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12.79</w:t>
            </w:r>
          </w:p>
        </w:tc>
        <w:tc>
          <w:tcPr>
            <w:tcW w:w="552"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11.97</w:t>
            </w:r>
          </w:p>
        </w:tc>
        <w:tc>
          <w:tcPr>
            <w:tcW w:w="608"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12.29</w:t>
            </w:r>
          </w:p>
        </w:tc>
        <w:tc>
          <w:tcPr>
            <w:tcW w:w="608"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11.84</w:t>
            </w:r>
          </w:p>
        </w:tc>
        <w:tc>
          <w:tcPr>
            <w:tcW w:w="608"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11.25</w:t>
            </w:r>
          </w:p>
        </w:tc>
        <w:tc>
          <w:tcPr>
            <w:tcW w:w="375" w:type="pct"/>
          </w:tcPr>
          <w:p w:rsidR="00DA4DD8" w:rsidRPr="00FD1AA2" w:rsidRDefault="00DA4DD8" w:rsidP="00E83041">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12.03</w:t>
            </w:r>
          </w:p>
        </w:tc>
        <w:tc>
          <w:tcPr>
            <w:tcW w:w="366" w:type="pct"/>
          </w:tcPr>
          <w:p w:rsidR="00DA4DD8" w:rsidRPr="00FD1AA2" w:rsidRDefault="00DA4DD8" w:rsidP="00E83041">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0.51</w:t>
            </w:r>
          </w:p>
        </w:tc>
        <w:tc>
          <w:tcPr>
            <w:tcW w:w="368" w:type="pct"/>
          </w:tcPr>
          <w:p w:rsidR="00DA4DD8" w:rsidRPr="00FD1AA2" w:rsidRDefault="00DA4DD8" w:rsidP="00E83041">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4.24</w:t>
            </w:r>
          </w:p>
        </w:tc>
      </w:tr>
      <w:tr w:rsidR="00DA4DD8" w:rsidRPr="00FD1AA2" w:rsidTr="00C41E72">
        <w:trPr>
          <w:jc w:val="center"/>
        </w:trPr>
        <w:tc>
          <w:tcPr>
            <w:tcW w:w="964" w:type="pct"/>
          </w:tcPr>
          <w:p w:rsidR="00DA4DD8" w:rsidRPr="00FD1AA2" w:rsidRDefault="00DA4DD8" w:rsidP="00BC1D45">
            <w:pPr>
              <w:spacing w:line="360" w:lineRule="auto"/>
              <w:rPr>
                <w:rFonts w:ascii="Times New Roman" w:hAnsi="Times New Roman"/>
              </w:rPr>
            </w:pPr>
            <w:r w:rsidRPr="00FD1AA2">
              <w:rPr>
                <w:rFonts w:ascii="Times New Roman" w:hAnsi="Times New Roman"/>
              </w:rPr>
              <w:t>NRB Standard (%)</w:t>
            </w:r>
          </w:p>
        </w:tc>
        <w:tc>
          <w:tcPr>
            <w:tcW w:w="552"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11</w:t>
            </w:r>
          </w:p>
        </w:tc>
        <w:tc>
          <w:tcPr>
            <w:tcW w:w="552"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11</w:t>
            </w:r>
          </w:p>
        </w:tc>
        <w:tc>
          <w:tcPr>
            <w:tcW w:w="608"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11</w:t>
            </w:r>
          </w:p>
        </w:tc>
        <w:tc>
          <w:tcPr>
            <w:tcW w:w="608"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10</w:t>
            </w:r>
          </w:p>
        </w:tc>
        <w:tc>
          <w:tcPr>
            <w:tcW w:w="608"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10</w:t>
            </w:r>
          </w:p>
        </w:tc>
        <w:tc>
          <w:tcPr>
            <w:tcW w:w="375" w:type="pct"/>
          </w:tcPr>
          <w:p w:rsidR="00DA4DD8" w:rsidRPr="00FD1AA2" w:rsidRDefault="00DA4DD8" w:rsidP="00E83041">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c>
          <w:tcPr>
            <w:tcW w:w="366" w:type="pct"/>
          </w:tcPr>
          <w:p w:rsidR="00DA4DD8" w:rsidRPr="00FD1AA2" w:rsidRDefault="00DA4DD8" w:rsidP="00E83041">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c>
          <w:tcPr>
            <w:tcW w:w="368" w:type="pct"/>
          </w:tcPr>
          <w:p w:rsidR="00DA4DD8" w:rsidRPr="00FD1AA2" w:rsidRDefault="00DA4DD8" w:rsidP="00E83041">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r>
      <w:tr w:rsidR="00DA4DD8" w:rsidRPr="00FD1AA2" w:rsidTr="00C41E72">
        <w:trPr>
          <w:jc w:val="center"/>
        </w:trPr>
        <w:tc>
          <w:tcPr>
            <w:tcW w:w="964" w:type="pct"/>
          </w:tcPr>
          <w:p w:rsidR="00DA4DD8" w:rsidRPr="00FD1AA2" w:rsidRDefault="00DA4DD8" w:rsidP="00BC1D45">
            <w:pPr>
              <w:spacing w:line="360" w:lineRule="auto"/>
              <w:rPr>
                <w:rFonts w:ascii="Times New Roman" w:hAnsi="Times New Roman"/>
              </w:rPr>
            </w:pPr>
            <w:r w:rsidRPr="00FD1AA2">
              <w:rPr>
                <w:rFonts w:ascii="Times New Roman" w:hAnsi="Times New Roman"/>
              </w:rPr>
              <w:t>Capital Adequacy Ratio  Excess/ Short %)</w:t>
            </w:r>
          </w:p>
        </w:tc>
        <w:tc>
          <w:tcPr>
            <w:tcW w:w="552"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1.79</w:t>
            </w:r>
          </w:p>
        </w:tc>
        <w:tc>
          <w:tcPr>
            <w:tcW w:w="552"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0.97</w:t>
            </w:r>
          </w:p>
        </w:tc>
        <w:tc>
          <w:tcPr>
            <w:tcW w:w="608"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1.29</w:t>
            </w:r>
          </w:p>
        </w:tc>
        <w:tc>
          <w:tcPr>
            <w:tcW w:w="608"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1.84</w:t>
            </w:r>
          </w:p>
        </w:tc>
        <w:tc>
          <w:tcPr>
            <w:tcW w:w="608" w:type="pct"/>
          </w:tcPr>
          <w:p w:rsidR="00DA4DD8" w:rsidRPr="00FD1AA2" w:rsidRDefault="00DA4DD8" w:rsidP="00E83041">
            <w:pPr>
              <w:spacing w:line="360" w:lineRule="auto"/>
              <w:jc w:val="right"/>
              <w:rPr>
                <w:rFonts w:ascii="Times New Roman" w:hAnsi="Times New Roman"/>
              </w:rPr>
            </w:pPr>
            <w:r w:rsidRPr="00FD1AA2">
              <w:rPr>
                <w:rFonts w:ascii="Times New Roman" w:hAnsi="Times New Roman"/>
              </w:rPr>
              <w:t>1.25</w:t>
            </w:r>
          </w:p>
        </w:tc>
        <w:tc>
          <w:tcPr>
            <w:tcW w:w="375" w:type="pct"/>
          </w:tcPr>
          <w:p w:rsidR="00DA4DD8" w:rsidRPr="00FD1AA2" w:rsidRDefault="00DA4DD8" w:rsidP="00E83041">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c>
          <w:tcPr>
            <w:tcW w:w="366" w:type="pct"/>
          </w:tcPr>
          <w:p w:rsidR="00DA4DD8" w:rsidRPr="00FD1AA2" w:rsidRDefault="00DA4DD8" w:rsidP="00E83041">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c>
          <w:tcPr>
            <w:tcW w:w="368" w:type="pct"/>
          </w:tcPr>
          <w:p w:rsidR="00DA4DD8" w:rsidRPr="00FD1AA2" w:rsidRDefault="00DA4DD8" w:rsidP="00E83041">
            <w:pPr>
              <w:pStyle w:val="ListParagraph"/>
              <w:widowControl w:val="0"/>
              <w:tabs>
                <w:tab w:val="left" w:pos="9000"/>
              </w:tabs>
              <w:spacing w:line="360" w:lineRule="auto"/>
              <w:ind w:left="0"/>
              <w:jc w:val="right"/>
              <w:rPr>
                <w:rFonts w:ascii="Times New Roman" w:hAnsi="Times New Roman"/>
              </w:rPr>
            </w:pPr>
            <w:r w:rsidRPr="00FD1AA2">
              <w:rPr>
                <w:rFonts w:ascii="Times New Roman" w:hAnsi="Times New Roman"/>
              </w:rPr>
              <w:t>-</w:t>
            </w:r>
          </w:p>
        </w:tc>
      </w:tr>
    </w:tbl>
    <w:p w:rsidR="00DA4DD8" w:rsidRPr="009113C4" w:rsidRDefault="00DA4DD8" w:rsidP="00FD1AA2">
      <w:pPr>
        <w:spacing w:after="240" w:line="360" w:lineRule="auto"/>
        <w:rPr>
          <w:rFonts w:ascii="Times New Roman" w:hAnsi="Times New Roman"/>
          <w:i/>
        </w:rPr>
      </w:pPr>
      <w:r w:rsidRPr="009113C4">
        <w:rPr>
          <w:rFonts w:ascii="Times New Roman" w:hAnsi="Times New Roman"/>
          <w:i/>
        </w:rPr>
        <w:t>Source: Annual Reports of MBL</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Figure</w:t>
      </w:r>
      <w:r w:rsidR="00760ECB">
        <w:rPr>
          <w:rFonts w:ascii="Times New Roman" w:hAnsi="Times New Roman"/>
          <w:b/>
        </w:rPr>
        <w:t xml:space="preserve"> :</w:t>
      </w:r>
      <w:r w:rsidRPr="00FD1AA2">
        <w:rPr>
          <w:rFonts w:ascii="Times New Roman" w:hAnsi="Times New Roman"/>
          <w:b/>
        </w:rPr>
        <w:t xml:space="preserve"> 4.3</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 xml:space="preserve">Comparing Capital Adequacy Ratio with NRB Standard </w:t>
      </w:r>
    </w:p>
    <w:p w:rsidR="00DA4DD8" w:rsidRPr="00FD1AA2" w:rsidRDefault="009A308E" w:rsidP="00FD1AA2">
      <w:pPr>
        <w:widowControl w:val="0"/>
        <w:tabs>
          <w:tab w:val="left" w:pos="9000"/>
        </w:tabs>
        <w:spacing w:after="240" w:line="360" w:lineRule="auto"/>
        <w:jc w:val="center"/>
        <w:rPr>
          <w:rFonts w:ascii="Times New Roman" w:hAnsi="Times New Roman"/>
          <w:b/>
        </w:rPr>
      </w:pPr>
      <w:r>
        <w:rPr>
          <w:rFonts w:ascii="Times New Roman" w:hAnsi="Times New Roman"/>
          <w:b/>
          <w:noProof/>
          <w:lang w:bidi="ar-SA"/>
        </w:rPr>
        <w:drawing>
          <wp:inline distT="0" distB="0" distL="0" distR="0">
            <wp:extent cx="5274945" cy="2755646"/>
            <wp:effectExtent l="12192" t="6096" r="15113" b="8763"/>
            <wp:docPr id="46"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A4DD8" w:rsidRPr="00FD1AA2" w:rsidRDefault="00DA4DD8" w:rsidP="00FD1AA2">
      <w:pPr>
        <w:widowControl w:val="0"/>
        <w:tabs>
          <w:tab w:val="left" w:pos="9000"/>
        </w:tabs>
        <w:spacing w:after="240" w:line="360" w:lineRule="auto"/>
        <w:jc w:val="both"/>
        <w:rPr>
          <w:rFonts w:ascii="Times New Roman" w:hAnsi="Times New Roman"/>
        </w:rPr>
      </w:pPr>
      <w:r w:rsidRPr="00FD1AA2">
        <w:rPr>
          <w:rFonts w:ascii="Times New Roman" w:hAnsi="Times New Roman"/>
        </w:rPr>
        <w:t xml:space="preserve">The above table and figure 4.3 shows TCAR of MBL for the study period 12.79%, 11.97%, 12.29%, 11.84% and 11.25%. The NRB standard on the Total Capital </w:t>
      </w:r>
      <w:r w:rsidRPr="00FD1AA2">
        <w:rPr>
          <w:rFonts w:ascii="Times New Roman" w:hAnsi="Times New Roman"/>
        </w:rPr>
        <w:lastRenderedPageBreak/>
        <w:t>adequacy Ratio for the commercial banks is 11% for the study period. The data reveals that the ratio maintained by selected MBL  is more than the NRB standards. The total capital adequacy ratio of MBL was maximum with 12.79% in FY 2062/063 and minimum with 11.25% in FY 2066/067 over the study period. The ratios are fluctuating trend over the years. The average ratio of capital adequacy ratio is 12.03%, standard deviation is 0.51 and coefficient of variation (CV).</w:t>
      </w:r>
    </w:p>
    <w:p w:rsidR="00DA4DD8" w:rsidRPr="003E0FDF" w:rsidRDefault="00DA4DD8" w:rsidP="00FD1AA2">
      <w:pPr>
        <w:widowControl w:val="0"/>
        <w:spacing w:after="240" w:line="360" w:lineRule="auto"/>
        <w:jc w:val="both"/>
        <w:rPr>
          <w:rFonts w:ascii="Times New Roman" w:hAnsi="Times New Roman"/>
          <w:b/>
          <w:sz w:val="28"/>
          <w:szCs w:val="26"/>
        </w:rPr>
      </w:pPr>
      <w:r w:rsidRPr="003E0FDF">
        <w:rPr>
          <w:rFonts w:ascii="Times New Roman" w:hAnsi="Times New Roman"/>
          <w:b/>
          <w:sz w:val="28"/>
          <w:szCs w:val="26"/>
        </w:rPr>
        <w:t xml:space="preserve">4.2 </w:t>
      </w:r>
      <w:r w:rsidRPr="003E0FDF">
        <w:rPr>
          <w:rFonts w:ascii="Times New Roman" w:hAnsi="Times New Roman"/>
          <w:b/>
          <w:sz w:val="28"/>
          <w:szCs w:val="26"/>
        </w:rPr>
        <w:tab/>
        <w:t>Assets Quality</w:t>
      </w:r>
    </w:p>
    <w:p w:rsidR="00DA4DD8" w:rsidRPr="00FD1AA2" w:rsidRDefault="00840077" w:rsidP="00FD1AA2">
      <w:pPr>
        <w:widowControl w:val="0"/>
        <w:tabs>
          <w:tab w:val="left" w:pos="9000"/>
        </w:tabs>
        <w:spacing w:after="240" w:line="360" w:lineRule="auto"/>
        <w:jc w:val="both"/>
        <w:rPr>
          <w:rFonts w:ascii="Times New Roman" w:hAnsi="Times New Roman"/>
        </w:rPr>
      </w:pPr>
      <w:r>
        <w:rPr>
          <w:rFonts w:ascii="Times New Roman" w:hAnsi="Times New Roman"/>
        </w:rPr>
        <w:t xml:space="preserve">Asset quality is one of the most important factors which measure low effective an institution is at lending money to people who are willing and able to pay it back. </w:t>
      </w:r>
      <w:r w:rsidR="00DA4DD8" w:rsidRPr="00FD1AA2">
        <w:rPr>
          <w:rFonts w:ascii="Times New Roman" w:hAnsi="Times New Roman"/>
        </w:rPr>
        <w:t>Loans and advances normally dominate the asset side of balance sheet of the banks. Similarly earning from such loans and advances occupy a major space in income statement of the bank. Hence asset is the critical factor in determining the strength of any bank. Primary factors that can be considered are the quality of loan portfolio, mix of risk assets and credit administration system. The quality of assets are measured in terms of ratio of past due loans to total loans and loan classified as substandard /doubtful/ loss to total loans. Provisions made for NPAS and loan provided to single borrower are also the measuring rods used to analyze the assets quality of the bank.</w:t>
      </w:r>
    </w:p>
    <w:p w:rsidR="00DA4DD8" w:rsidRPr="00037640" w:rsidRDefault="00DA4DD8" w:rsidP="00FD1AA2">
      <w:pPr>
        <w:widowControl w:val="0"/>
        <w:tabs>
          <w:tab w:val="left" w:pos="9000"/>
        </w:tabs>
        <w:spacing w:after="240" w:line="360" w:lineRule="auto"/>
        <w:jc w:val="both"/>
        <w:rPr>
          <w:rFonts w:ascii="Times New Roman" w:hAnsi="Times New Roman"/>
          <w:b/>
          <w:sz w:val="28"/>
        </w:rPr>
      </w:pPr>
      <w:r w:rsidRPr="00037640">
        <w:rPr>
          <w:rFonts w:ascii="Times New Roman" w:hAnsi="Times New Roman"/>
          <w:b/>
          <w:sz w:val="28"/>
        </w:rPr>
        <w:t xml:space="preserve">4.2.1 </w:t>
      </w:r>
      <w:r w:rsidR="00037640">
        <w:rPr>
          <w:rFonts w:ascii="Times New Roman" w:hAnsi="Times New Roman"/>
          <w:b/>
          <w:sz w:val="28"/>
        </w:rPr>
        <w:t xml:space="preserve"> </w:t>
      </w:r>
      <w:r w:rsidRPr="00037640">
        <w:rPr>
          <w:rFonts w:ascii="Times New Roman" w:hAnsi="Times New Roman"/>
          <w:b/>
          <w:sz w:val="28"/>
        </w:rPr>
        <w:t>Non- Performing Loan Ratio</w:t>
      </w:r>
    </w:p>
    <w:p w:rsidR="00DA4DD8" w:rsidRPr="00FD1AA2" w:rsidRDefault="00CA5D9F" w:rsidP="00FD1AA2">
      <w:pPr>
        <w:spacing w:after="240" w:line="360" w:lineRule="auto"/>
        <w:jc w:val="both"/>
        <w:rPr>
          <w:rFonts w:ascii="Times New Roman" w:hAnsi="Times New Roman"/>
        </w:rPr>
      </w:pPr>
      <w:r>
        <w:rPr>
          <w:rFonts w:ascii="Times New Roman" w:hAnsi="Times New Roman"/>
        </w:rPr>
        <w:t xml:space="preserve">The loan and </w:t>
      </w:r>
      <w:r w:rsidR="004E7F93">
        <w:rPr>
          <w:rFonts w:ascii="Times New Roman" w:hAnsi="Times New Roman"/>
        </w:rPr>
        <w:t>advances</w:t>
      </w:r>
      <w:r>
        <w:rPr>
          <w:rFonts w:ascii="Times New Roman" w:hAnsi="Times New Roman"/>
        </w:rPr>
        <w:t xml:space="preserve"> usually represent the single largest assets category for most finance institution. Loan is a risky assets. Each firm make its decision as to how deposited fund should be allocated, and these decisions determine its level of credit (default) risk. Risk of non-repayment of loan is known as credit risk. If the borrowers fails to pay the interest or principal within the time frame, the performing loan turns into non-performing loan. </w:t>
      </w:r>
      <w:r w:rsidR="00DA4DD8" w:rsidRPr="00FD1AA2">
        <w:rPr>
          <w:rFonts w:ascii="Times New Roman" w:hAnsi="Times New Roman"/>
        </w:rPr>
        <w:t>The non-performing loans measure the proportion of non-performing loan</w:t>
      </w:r>
      <w:r>
        <w:rPr>
          <w:rFonts w:ascii="Times New Roman" w:hAnsi="Times New Roman"/>
        </w:rPr>
        <w:t xml:space="preserve"> </w:t>
      </w:r>
      <w:r w:rsidR="00DA4DD8" w:rsidRPr="00FD1AA2">
        <w:rPr>
          <w:rFonts w:ascii="Times New Roman" w:hAnsi="Times New Roman"/>
        </w:rPr>
        <w:t>in total loan and advance. A loan is non- performing when payments of interest and principal are past due by 90 days or more, or at least 90 days of interest payments have been capitalized, refinanced or delayed by agreement, or payments are less than 90 days overdue, but there are other good reasons to doubt that payments will be made in full.</w:t>
      </w:r>
      <w:r w:rsidR="004E7F93">
        <w:rPr>
          <w:rFonts w:ascii="Times New Roman" w:hAnsi="Times New Roman"/>
        </w:rPr>
        <w:t xml:space="preserve"> Lower ratio shows the better proportion of performing loan and </w:t>
      </w:r>
      <w:r w:rsidR="004E7F93">
        <w:rPr>
          <w:rFonts w:ascii="Times New Roman" w:hAnsi="Times New Roman"/>
        </w:rPr>
        <w:lastRenderedPageBreak/>
        <w:t xml:space="preserve">risk of default and vice-versa. An internationally recognized non-performing loan benchmark is 5% (IMF, 2000). </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 xml:space="preserve">Table </w:t>
      </w:r>
      <w:r w:rsidR="004A1D65">
        <w:rPr>
          <w:rFonts w:ascii="Times New Roman" w:hAnsi="Times New Roman"/>
          <w:b/>
        </w:rPr>
        <w:t xml:space="preserve">: </w:t>
      </w:r>
      <w:r w:rsidRPr="00FD1AA2">
        <w:rPr>
          <w:rFonts w:ascii="Times New Roman" w:hAnsi="Times New Roman"/>
          <w:b/>
        </w:rPr>
        <w:t>4.4</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Non Performing Loan Ratio</w:t>
      </w:r>
    </w:p>
    <w:tbl>
      <w:tblPr>
        <w:tblW w:w="5122"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51"/>
        <w:gridCol w:w="1085"/>
        <w:gridCol w:w="1085"/>
        <w:gridCol w:w="1085"/>
        <w:gridCol w:w="1085"/>
        <w:gridCol w:w="1085"/>
        <w:gridCol w:w="740"/>
        <w:gridCol w:w="849"/>
        <w:gridCol w:w="734"/>
      </w:tblGrid>
      <w:tr w:rsidR="00CA5D9F" w:rsidRPr="00CA5D9F" w:rsidTr="00CA5D9F">
        <w:trPr>
          <w:jc w:val="center"/>
        </w:trPr>
        <w:tc>
          <w:tcPr>
            <w:tcW w:w="676" w:type="pct"/>
          </w:tcPr>
          <w:p w:rsidR="00DA4DD8" w:rsidRPr="00CA5D9F" w:rsidRDefault="00DA4DD8" w:rsidP="007A5296">
            <w:pPr>
              <w:spacing w:after="120"/>
              <w:jc w:val="center"/>
              <w:rPr>
                <w:rFonts w:ascii="Times New Roman" w:hAnsi="Times New Roman"/>
                <w:sz w:val="23"/>
                <w:szCs w:val="23"/>
              </w:rPr>
            </w:pPr>
            <w:r w:rsidRPr="00CA5D9F">
              <w:rPr>
                <w:rFonts w:ascii="Times New Roman" w:hAnsi="Times New Roman"/>
                <w:sz w:val="23"/>
                <w:szCs w:val="23"/>
              </w:rPr>
              <w:t>Fiscal year</w:t>
            </w:r>
          </w:p>
        </w:tc>
        <w:tc>
          <w:tcPr>
            <w:tcW w:w="588" w:type="pct"/>
          </w:tcPr>
          <w:p w:rsidR="00DA4DD8" w:rsidRPr="00CA5D9F" w:rsidRDefault="00DA4DD8" w:rsidP="007A5296">
            <w:pPr>
              <w:spacing w:after="120"/>
              <w:jc w:val="center"/>
              <w:rPr>
                <w:rFonts w:ascii="Times New Roman" w:hAnsi="Times New Roman"/>
                <w:sz w:val="23"/>
                <w:szCs w:val="23"/>
              </w:rPr>
            </w:pPr>
            <w:r w:rsidRPr="00CA5D9F">
              <w:rPr>
                <w:rFonts w:ascii="Times New Roman" w:hAnsi="Times New Roman"/>
                <w:sz w:val="23"/>
                <w:szCs w:val="23"/>
              </w:rPr>
              <w:t>2062/063</w:t>
            </w:r>
          </w:p>
        </w:tc>
        <w:tc>
          <w:tcPr>
            <w:tcW w:w="588" w:type="pct"/>
          </w:tcPr>
          <w:p w:rsidR="00DA4DD8" w:rsidRPr="00CA5D9F" w:rsidRDefault="00DA4DD8" w:rsidP="007A5296">
            <w:pPr>
              <w:spacing w:after="120"/>
              <w:jc w:val="center"/>
              <w:rPr>
                <w:rFonts w:ascii="Times New Roman" w:hAnsi="Times New Roman"/>
                <w:sz w:val="23"/>
                <w:szCs w:val="23"/>
              </w:rPr>
            </w:pPr>
            <w:r w:rsidRPr="00CA5D9F">
              <w:rPr>
                <w:rFonts w:ascii="Times New Roman" w:hAnsi="Times New Roman"/>
                <w:sz w:val="23"/>
                <w:szCs w:val="23"/>
              </w:rPr>
              <w:t>2063/064</w:t>
            </w:r>
          </w:p>
        </w:tc>
        <w:tc>
          <w:tcPr>
            <w:tcW w:w="588" w:type="pct"/>
          </w:tcPr>
          <w:p w:rsidR="00DA4DD8" w:rsidRPr="00CA5D9F" w:rsidRDefault="00DA4DD8" w:rsidP="007A5296">
            <w:pPr>
              <w:spacing w:after="120"/>
              <w:jc w:val="center"/>
              <w:rPr>
                <w:rFonts w:ascii="Times New Roman" w:hAnsi="Times New Roman"/>
                <w:sz w:val="23"/>
                <w:szCs w:val="23"/>
              </w:rPr>
            </w:pPr>
            <w:r w:rsidRPr="00CA5D9F">
              <w:rPr>
                <w:rFonts w:ascii="Times New Roman" w:hAnsi="Times New Roman"/>
                <w:sz w:val="23"/>
                <w:szCs w:val="23"/>
              </w:rPr>
              <w:t>2064/065</w:t>
            </w:r>
          </w:p>
        </w:tc>
        <w:tc>
          <w:tcPr>
            <w:tcW w:w="588" w:type="pct"/>
          </w:tcPr>
          <w:p w:rsidR="00DA4DD8" w:rsidRPr="00CA5D9F" w:rsidRDefault="00DA4DD8" w:rsidP="007A5296">
            <w:pPr>
              <w:spacing w:after="120"/>
              <w:jc w:val="center"/>
              <w:rPr>
                <w:rFonts w:ascii="Times New Roman" w:hAnsi="Times New Roman"/>
                <w:sz w:val="23"/>
                <w:szCs w:val="23"/>
              </w:rPr>
            </w:pPr>
            <w:r w:rsidRPr="00CA5D9F">
              <w:rPr>
                <w:rFonts w:ascii="Times New Roman" w:hAnsi="Times New Roman"/>
                <w:sz w:val="23"/>
                <w:szCs w:val="23"/>
              </w:rPr>
              <w:t>2065/066</w:t>
            </w:r>
          </w:p>
        </w:tc>
        <w:tc>
          <w:tcPr>
            <w:tcW w:w="588" w:type="pct"/>
          </w:tcPr>
          <w:p w:rsidR="00DA4DD8" w:rsidRPr="00CA5D9F" w:rsidRDefault="00DA4DD8" w:rsidP="007A5296">
            <w:pPr>
              <w:spacing w:after="120"/>
              <w:jc w:val="center"/>
              <w:rPr>
                <w:rFonts w:ascii="Times New Roman" w:hAnsi="Times New Roman"/>
                <w:sz w:val="23"/>
                <w:szCs w:val="23"/>
              </w:rPr>
            </w:pPr>
            <w:r w:rsidRPr="00CA5D9F">
              <w:rPr>
                <w:rFonts w:ascii="Times New Roman" w:hAnsi="Times New Roman"/>
                <w:sz w:val="23"/>
                <w:szCs w:val="23"/>
              </w:rPr>
              <w:t>2066/067</w:t>
            </w:r>
          </w:p>
        </w:tc>
        <w:tc>
          <w:tcPr>
            <w:tcW w:w="523" w:type="pct"/>
          </w:tcPr>
          <w:p w:rsidR="00DA4DD8" w:rsidRPr="00CA5D9F" w:rsidRDefault="00DA4DD8" w:rsidP="007A5296">
            <w:pPr>
              <w:pStyle w:val="ListParagraph"/>
              <w:widowControl w:val="0"/>
              <w:tabs>
                <w:tab w:val="left" w:pos="9000"/>
              </w:tabs>
              <w:spacing w:after="120"/>
              <w:ind w:left="0"/>
              <w:jc w:val="right"/>
              <w:rPr>
                <w:rFonts w:ascii="Times New Roman" w:hAnsi="Times New Roman"/>
                <w:sz w:val="23"/>
                <w:szCs w:val="23"/>
              </w:rPr>
            </w:pPr>
            <w:r w:rsidRPr="00CA5D9F">
              <w:rPr>
                <w:rFonts w:ascii="Times New Roman" w:hAnsi="Times New Roman"/>
                <w:sz w:val="23"/>
                <w:szCs w:val="23"/>
              </w:rPr>
              <w:t xml:space="preserve">Mean </w:t>
            </w:r>
          </w:p>
        </w:tc>
        <w:tc>
          <w:tcPr>
            <w:tcW w:w="461" w:type="pct"/>
          </w:tcPr>
          <w:p w:rsidR="00DA4DD8" w:rsidRPr="00CA5D9F" w:rsidRDefault="00DA4DD8" w:rsidP="007A5296">
            <w:pPr>
              <w:pStyle w:val="ListParagraph"/>
              <w:widowControl w:val="0"/>
              <w:tabs>
                <w:tab w:val="left" w:pos="9000"/>
              </w:tabs>
              <w:spacing w:after="120"/>
              <w:ind w:left="0"/>
              <w:jc w:val="right"/>
              <w:rPr>
                <w:rFonts w:ascii="Times New Roman" w:hAnsi="Times New Roman"/>
                <w:sz w:val="23"/>
                <w:szCs w:val="23"/>
              </w:rPr>
            </w:pPr>
            <w:r w:rsidRPr="00CA5D9F">
              <w:rPr>
                <w:rFonts w:ascii="Times New Roman" w:hAnsi="Times New Roman"/>
                <w:sz w:val="23"/>
                <w:szCs w:val="23"/>
              </w:rPr>
              <w:t xml:space="preserve">S.D </w:t>
            </w:r>
          </w:p>
        </w:tc>
        <w:tc>
          <w:tcPr>
            <w:tcW w:w="400" w:type="pct"/>
          </w:tcPr>
          <w:p w:rsidR="00DA4DD8" w:rsidRPr="00CA5D9F" w:rsidRDefault="00DA4DD8" w:rsidP="007A5296">
            <w:pPr>
              <w:pStyle w:val="ListParagraph"/>
              <w:widowControl w:val="0"/>
              <w:tabs>
                <w:tab w:val="left" w:pos="9000"/>
              </w:tabs>
              <w:spacing w:after="120"/>
              <w:ind w:left="0"/>
              <w:jc w:val="right"/>
              <w:rPr>
                <w:rFonts w:ascii="Times New Roman" w:hAnsi="Times New Roman"/>
                <w:sz w:val="23"/>
                <w:szCs w:val="23"/>
              </w:rPr>
            </w:pPr>
            <w:r w:rsidRPr="00CA5D9F">
              <w:rPr>
                <w:rFonts w:ascii="Times New Roman" w:hAnsi="Times New Roman"/>
                <w:sz w:val="23"/>
                <w:szCs w:val="23"/>
              </w:rPr>
              <w:t>CV</w:t>
            </w:r>
          </w:p>
        </w:tc>
      </w:tr>
      <w:tr w:rsidR="00CA5D9F" w:rsidRPr="00CA5D9F" w:rsidTr="00CA5D9F">
        <w:trPr>
          <w:trHeight w:val="1115"/>
          <w:jc w:val="center"/>
        </w:trPr>
        <w:tc>
          <w:tcPr>
            <w:tcW w:w="676" w:type="pct"/>
          </w:tcPr>
          <w:p w:rsidR="00DA4DD8" w:rsidRPr="00CA5D9F" w:rsidRDefault="00DA4DD8" w:rsidP="007A5296">
            <w:pPr>
              <w:spacing w:after="120"/>
              <w:rPr>
                <w:rFonts w:ascii="Times New Roman" w:hAnsi="Times New Roman"/>
                <w:sz w:val="23"/>
                <w:szCs w:val="23"/>
              </w:rPr>
            </w:pPr>
            <w:r w:rsidRPr="00CA5D9F">
              <w:rPr>
                <w:rFonts w:ascii="Times New Roman" w:hAnsi="Times New Roman"/>
                <w:sz w:val="23"/>
                <w:szCs w:val="23"/>
              </w:rPr>
              <w:t>Total non-performing loan (in million)</w:t>
            </w:r>
          </w:p>
        </w:tc>
        <w:tc>
          <w:tcPr>
            <w:tcW w:w="588"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16.92</w:t>
            </w:r>
          </w:p>
        </w:tc>
        <w:tc>
          <w:tcPr>
            <w:tcW w:w="588"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85.17</w:t>
            </w:r>
          </w:p>
        </w:tc>
        <w:tc>
          <w:tcPr>
            <w:tcW w:w="588"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92.9</w:t>
            </w:r>
          </w:p>
        </w:tc>
        <w:tc>
          <w:tcPr>
            <w:tcW w:w="588"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342.85</w:t>
            </w:r>
          </w:p>
        </w:tc>
        <w:tc>
          <w:tcPr>
            <w:tcW w:w="588"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287.73</w:t>
            </w:r>
          </w:p>
          <w:p w:rsidR="00DA4DD8" w:rsidRPr="00CA5D9F" w:rsidRDefault="00DA4DD8" w:rsidP="007A5296">
            <w:pPr>
              <w:spacing w:after="120"/>
              <w:rPr>
                <w:rFonts w:ascii="Times New Roman" w:hAnsi="Times New Roman"/>
                <w:sz w:val="23"/>
                <w:szCs w:val="23"/>
              </w:rPr>
            </w:pPr>
          </w:p>
        </w:tc>
        <w:tc>
          <w:tcPr>
            <w:tcW w:w="523"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w:t>
            </w:r>
          </w:p>
        </w:tc>
        <w:tc>
          <w:tcPr>
            <w:tcW w:w="461"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w:t>
            </w:r>
          </w:p>
        </w:tc>
        <w:tc>
          <w:tcPr>
            <w:tcW w:w="400"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w:t>
            </w:r>
          </w:p>
        </w:tc>
      </w:tr>
      <w:tr w:rsidR="00CA5D9F" w:rsidRPr="00CA5D9F" w:rsidTr="00CA5D9F">
        <w:trPr>
          <w:trHeight w:val="1169"/>
          <w:jc w:val="center"/>
        </w:trPr>
        <w:tc>
          <w:tcPr>
            <w:tcW w:w="676" w:type="pct"/>
          </w:tcPr>
          <w:p w:rsidR="00DA4DD8" w:rsidRPr="00CA5D9F" w:rsidRDefault="00DA4DD8" w:rsidP="007A5296">
            <w:pPr>
              <w:spacing w:after="120"/>
              <w:rPr>
                <w:rFonts w:ascii="Times New Roman" w:hAnsi="Times New Roman"/>
                <w:sz w:val="23"/>
                <w:szCs w:val="23"/>
              </w:rPr>
            </w:pPr>
            <w:r w:rsidRPr="00CA5D9F">
              <w:rPr>
                <w:rFonts w:ascii="Times New Roman" w:hAnsi="Times New Roman"/>
                <w:sz w:val="23"/>
                <w:szCs w:val="23"/>
              </w:rPr>
              <w:t>Total Loan and Advances    (in million)</w:t>
            </w:r>
          </w:p>
        </w:tc>
        <w:tc>
          <w:tcPr>
            <w:tcW w:w="588"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6146.6</w:t>
            </w:r>
          </w:p>
        </w:tc>
        <w:tc>
          <w:tcPr>
            <w:tcW w:w="588"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7319.9</w:t>
            </w:r>
          </w:p>
        </w:tc>
        <w:tc>
          <w:tcPr>
            <w:tcW w:w="588"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8963.9</w:t>
            </w:r>
          </w:p>
        </w:tc>
        <w:tc>
          <w:tcPr>
            <w:tcW w:w="588"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12984.3</w:t>
            </w:r>
          </w:p>
        </w:tc>
        <w:tc>
          <w:tcPr>
            <w:tcW w:w="588"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14973.3</w:t>
            </w:r>
          </w:p>
        </w:tc>
        <w:tc>
          <w:tcPr>
            <w:tcW w:w="523"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w:t>
            </w:r>
          </w:p>
        </w:tc>
        <w:tc>
          <w:tcPr>
            <w:tcW w:w="461"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w:t>
            </w:r>
          </w:p>
        </w:tc>
        <w:tc>
          <w:tcPr>
            <w:tcW w:w="400"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w:t>
            </w:r>
          </w:p>
        </w:tc>
      </w:tr>
      <w:tr w:rsidR="00CA5D9F" w:rsidRPr="00CA5D9F" w:rsidTr="00CA5D9F">
        <w:trPr>
          <w:jc w:val="center"/>
        </w:trPr>
        <w:tc>
          <w:tcPr>
            <w:tcW w:w="676" w:type="pct"/>
          </w:tcPr>
          <w:p w:rsidR="00DA4DD8" w:rsidRPr="00CA5D9F" w:rsidRDefault="00DA4DD8" w:rsidP="007A5296">
            <w:pPr>
              <w:spacing w:after="120"/>
              <w:rPr>
                <w:rFonts w:ascii="Times New Roman" w:hAnsi="Times New Roman"/>
                <w:sz w:val="23"/>
                <w:szCs w:val="23"/>
              </w:rPr>
            </w:pPr>
            <w:r w:rsidRPr="00CA5D9F">
              <w:rPr>
                <w:rFonts w:ascii="Times New Roman" w:hAnsi="Times New Roman"/>
                <w:sz w:val="23"/>
                <w:szCs w:val="23"/>
              </w:rPr>
              <w:t xml:space="preserve"> Ratio of non -performing loan (%)</w:t>
            </w:r>
          </w:p>
        </w:tc>
        <w:tc>
          <w:tcPr>
            <w:tcW w:w="588"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0.28</w:t>
            </w:r>
          </w:p>
        </w:tc>
        <w:tc>
          <w:tcPr>
            <w:tcW w:w="588"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1.16</w:t>
            </w:r>
          </w:p>
        </w:tc>
        <w:tc>
          <w:tcPr>
            <w:tcW w:w="588"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1.04</w:t>
            </w:r>
          </w:p>
        </w:tc>
        <w:tc>
          <w:tcPr>
            <w:tcW w:w="588"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2.64</w:t>
            </w:r>
          </w:p>
        </w:tc>
        <w:tc>
          <w:tcPr>
            <w:tcW w:w="588"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1.92</w:t>
            </w:r>
          </w:p>
        </w:tc>
        <w:tc>
          <w:tcPr>
            <w:tcW w:w="523"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1.408</w:t>
            </w:r>
          </w:p>
        </w:tc>
        <w:tc>
          <w:tcPr>
            <w:tcW w:w="461"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0.8063</w:t>
            </w:r>
          </w:p>
        </w:tc>
        <w:tc>
          <w:tcPr>
            <w:tcW w:w="400" w:type="pct"/>
          </w:tcPr>
          <w:p w:rsidR="00DA4DD8" w:rsidRPr="00CA5D9F" w:rsidRDefault="00DA4DD8" w:rsidP="007A5296">
            <w:pPr>
              <w:spacing w:after="120"/>
              <w:jc w:val="right"/>
              <w:rPr>
                <w:rFonts w:ascii="Times New Roman" w:hAnsi="Times New Roman"/>
                <w:sz w:val="23"/>
                <w:szCs w:val="23"/>
              </w:rPr>
            </w:pPr>
            <w:r w:rsidRPr="00CA5D9F">
              <w:rPr>
                <w:rFonts w:ascii="Times New Roman" w:hAnsi="Times New Roman"/>
                <w:sz w:val="23"/>
                <w:szCs w:val="23"/>
              </w:rPr>
              <w:t>57.26</w:t>
            </w:r>
          </w:p>
        </w:tc>
      </w:tr>
    </w:tbl>
    <w:p w:rsidR="00DA4DD8" w:rsidRPr="004A1D65" w:rsidRDefault="00DA4DD8" w:rsidP="00FD1AA2">
      <w:pPr>
        <w:spacing w:after="240" w:line="360" w:lineRule="auto"/>
        <w:rPr>
          <w:rFonts w:ascii="Times New Roman" w:hAnsi="Times New Roman"/>
          <w:i/>
        </w:rPr>
      </w:pPr>
      <w:r w:rsidRPr="004A1D65">
        <w:rPr>
          <w:rFonts w:ascii="Times New Roman" w:hAnsi="Times New Roman"/>
          <w:i/>
        </w:rPr>
        <w:t>Source: Annual Reports of MBL</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 xml:space="preserve">Figure </w:t>
      </w:r>
      <w:r w:rsidR="004A1D65">
        <w:rPr>
          <w:rFonts w:ascii="Times New Roman" w:hAnsi="Times New Roman"/>
          <w:b/>
        </w:rPr>
        <w:t xml:space="preserve">: </w:t>
      </w:r>
      <w:r w:rsidRPr="00FD1AA2">
        <w:rPr>
          <w:rFonts w:ascii="Times New Roman" w:hAnsi="Times New Roman"/>
          <w:b/>
        </w:rPr>
        <w:t xml:space="preserve">4.4 </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 xml:space="preserve">Non-Performing Loan Ratio </w:t>
      </w:r>
    </w:p>
    <w:p w:rsidR="00DA4DD8" w:rsidRPr="00FD1AA2" w:rsidRDefault="009A308E" w:rsidP="00FD1AA2">
      <w:pPr>
        <w:widowControl w:val="0"/>
        <w:tabs>
          <w:tab w:val="left" w:pos="9000"/>
        </w:tabs>
        <w:spacing w:after="240" w:line="360" w:lineRule="auto"/>
        <w:jc w:val="center"/>
        <w:rPr>
          <w:rFonts w:ascii="Times New Roman" w:hAnsi="Times New Roman"/>
          <w:b/>
        </w:rPr>
      </w:pPr>
      <w:r>
        <w:rPr>
          <w:rFonts w:ascii="Times New Roman" w:hAnsi="Times New Roman"/>
          <w:b/>
          <w:noProof/>
          <w:lang w:bidi="ar-SA"/>
        </w:rPr>
        <w:drawing>
          <wp:inline distT="0" distB="0" distL="0" distR="0">
            <wp:extent cx="5093335" cy="3009519"/>
            <wp:effectExtent l="12192" t="6096" r="12573" b="7620"/>
            <wp:docPr id="45"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A4DD8" w:rsidRPr="00FD1AA2" w:rsidRDefault="00DA4DD8" w:rsidP="00FD1AA2">
      <w:pPr>
        <w:widowControl w:val="0"/>
        <w:tabs>
          <w:tab w:val="left" w:pos="9000"/>
        </w:tabs>
        <w:spacing w:after="240" w:line="360" w:lineRule="auto"/>
        <w:jc w:val="both"/>
        <w:rPr>
          <w:rFonts w:ascii="Times New Roman" w:hAnsi="Times New Roman"/>
        </w:rPr>
      </w:pPr>
      <w:r w:rsidRPr="00FD1AA2">
        <w:rPr>
          <w:rFonts w:ascii="Times New Roman" w:hAnsi="Times New Roman"/>
        </w:rPr>
        <w:lastRenderedPageBreak/>
        <w:t>The above table and figure 4.4 shows NPLR of MBL for the study period 0.28%, 1.16%, 1.04%, 2.64% and 1.92% in FY 2062/063 to FY 2066/067 respectively. The Non-performing loan ratio of the MBL is maximum in FY 2065/066 with 2.64% and minimum in FY 2062/063 with 0.28% with the average ratio is 1.408%, standard deviation is 0.806 and coefficient of variation is 57.26%. The ratio of MBL are fluctuating over the study period.</w:t>
      </w:r>
      <w:r w:rsidR="00157161">
        <w:rPr>
          <w:rFonts w:ascii="Times New Roman" w:hAnsi="Times New Roman"/>
        </w:rPr>
        <w:t xml:space="preserve"> The ratios are below the international standard i.e. 5%. It shows the efficient credit management. It means the bank has low credit risk. It reflects the good performance of bank. </w:t>
      </w:r>
    </w:p>
    <w:p w:rsidR="00DA4DD8" w:rsidRPr="004A1D65" w:rsidRDefault="00DA4DD8" w:rsidP="00FD1AA2">
      <w:pPr>
        <w:widowControl w:val="0"/>
        <w:tabs>
          <w:tab w:val="left" w:pos="9000"/>
        </w:tabs>
        <w:spacing w:after="240" w:line="360" w:lineRule="auto"/>
        <w:jc w:val="both"/>
        <w:rPr>
          <w:rFonts w:ascii="Times New Roman" w:hAnsi="Times New Roman"/>
          <w:b/>
          <w:sz w:val="28"/>
        </w:rPr>
      </w:pPr>
      <w:r w:rsidRPr="004A1D65">
        <w:rPr>
          <w:rFonts w:ascii="Times New Roman" w:hAnsi="Times New Roman"/>
          <w:b/>
          <w:sz w:val="28"/>
        </w:rPr>
        <w:t>4.2.2 Loan Loss Coverage Ratio</w:t>
      </w:r>
    </w:p>
    <w:p w:rsidR="00DA4DD8" w:rsidRPr="00FD1AA2" w:rsidRDefault="00CA6C2E" w:rsidP="00FD1AA2">
      <w:pPr>
        <w:widowControl w:val="0"/>
        <w:tabs>
          <w:tab w:val="left" w:pos="9000"/>
        </w:tabs>
        <w:spacing w:after="240" w:line="360" w:lineRule="auto"/>
        <w:jc w:val="both"/>
        <w:rPr>
          <w:rFonts w:ascii="Times New Roman" w:hAnsi="Times New Roman"/>
        </w:rPr>
      </w:pPr>
      <w:r>
        <w:rPr>
          <w:rFonts w:ascii="Times New Roman" w:hAnsi="Times New Roman"/>
        </w:rPr>
        <w:t xml:space="preserve">The loan loss coverage ratio shows how efficiently the company manages its loan and advance and make effort for the  loan recovery more delay the company gets to collect the loan, more provision has to make and the ratio will be higher. This will lead to low earning and high losses in the company. </w:t>
      </w:r>
      <w:r w:rsidR="00DA4DD8" w:rsidRPr="00FD1AA2">
        <w:rPr>
          <w:rFonts w:ascii="Times New Roman" w:hAnsi="Times New Roman"/>
        </w:rPr>
        <w:t xml:space="preserve">The non –performing loan to total loan and advances measures the risk on the total loan and thus represents the quality of the assets the bank is carrying on. Higher the ratio indicates higher risk on the assets and vice-versa. The loan loss provisioning ratio indicates adequacy of allowance for loan and trend in the collection of loan and the performance in loan portfolio. The ratio of the selected banks for five years period is presented in the table below. </w:t>
      </w:r>
    </w:p>
    <w:p w:rsidR="00DA4DD8" w:rsidRPr="00FD1AA2" w:rsidRDefault="00DA4DD8" w:rsidP="007A5296">
      <w:pPr>
        <w:widowControl w:val="0"/>
        <w:tabs>
          <w:tab w:val="left" w:pos="9000"/>
        </w:tabs>
        <w:spacing w:after="120" w:line="360" w:lineRule="auto"/>
        <w:jc w:val="center"/>
        <w:rPr>
          <w:rFonts w:ascii="Times New Roman" w:hAnsi="Times New Roman"/>
          <w:b/>
        </w:rPr>
      </w:pPr>
      <w:r w:rsidRPr="00FD1AA2">
        <w:rPr>
          <w:rFonts w:ascii="Times New Roman" w:hAnsi="Times New Roman"/>
          <w:b/>
        </w:rPr>
        <w:t xml:space="preserve">Table </w:t>
      </w:r>
      <w:r w:rsidR="004A1D65">
        <w:rPr>
          <w:rFonts w:ascii="Times New Roman" w:hAnsi="Times New Roman"/>
          <w:b/>
        </w:rPr>
        <w:t xml:space="preserve">: </w:t>
      </w:r>
      <w:r w:rsidRPr="00FD1AA2">
        <w:rPr>
          <w:rFonts w:ascii="Times New Roman" w:hAnsi="Times New Roman"/>
          <w:b/>
        </w:rPr>
        <w:t>4.5</w:t>
      </w:r>
    </w:p>
    <w:p w:rsidR="00DA4DD8" w:rsidRPr="00FD1AA2" w:rsidRDefault="00DA4DD8" w:rsidP="007A5296">
      <w:pPr>
        <w:widowControl w:val="0"/>
        <w:tabs>
          <w:tab w:val="left" w:pos="9000"/>
        </w:tabs>
        <w:spacing w:after="120" w:line="360" w:lineRule="auto"/>
        <w:jc w:val="center"/>
        <w:rPr>
          <w:rFonts w:ascii="Times New Roman" w:hAnsi="Times New Roman"/>
          <w:b/>
        </w:rPr>
      </w:pPr>
      <w:r w:rsidRPr="00FD1AA2">
        <w:rPr>
          <w:rFonts w:ascii="Times New Roman" w:hAnsi="Times New Roman"/>
          <w:b/>
        </w:rPr>
        <w:t>Loan Loss Coverage Ratio</w:t>
      </w:r>
    </w:p>
    <w:tbl>
      <w:tblPr>
        <w:tblW w:w="512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110"/>
        <w:gridCol w:w="1070"/>
        <w:gridCol w:w="1070"/>
        <w:gridCol w:w="1070"/>
        <w:gridCol w:w="1069"/>
        <w:gridCol w:w="1069"/>
        <w:gridCol w:w="943"/>
        <w:gridCol w:w="612"/>
        <w:gridCol w:w="723"/>
      </w:tblGrid>
      <w:tr w:rsidR="00DA4DD8" w:rsidRPr="007714C7" w:rsidTr="007714C7">
        <w:trPr>
          <w:jc w:val="center"/>
        </w:trPr>
        <w:tc>
          <w:tcPr>
            <w:tcW w:w="635" w:type="pct"/>
          </w:tcPr>
          <w:p w:rsidR="00DA4DD8" w:rsidRPr="007714C7" w:rsidRDefault="00DA4DD8" w:rsidP="007A5296">
            <w:pPr>
              <w:jc w:val="center"/>
              <w:rPr>
                <w:rFonts w:ascii="Times New Roman" w:hAnsi="Times New Roman"/>
              </w:rPr>
            </w:pPr>
            <w:r w:rsidRPr="007714C7">
              <w:rPr>
                <w:rFonts w:ascii="Times New Roman" w:hAnsi="Times New Roman"/>
                <w:sz w:val="22"/>
                <w:szCs w:val="22"/>
              </w:rPr>
              <w:t>Fiscal year</w:t>
            </w:r>
          </w:p>
        </w:tc>
        <w:tc>
          <w:tcPr>
            <w:tcW w:w="612" w:type="pct"/>
          </w:tcPr>
          <w:p w:rsidR="00DA4DD8" w:rsidRPr="007714C7" w:rsidRDefault="00DA4DD8" w:rsidP="007A5296">
            <w:pPr>
              <w:jc w:val="center"/>
              <w:rPr>
                <w:rFonts w:ascii="Times New Roman" w:hAnsi="Times New Roman"/>
              </w:rPr>
            </w:pPr>
            <w:r w:rsidRPr="007714C7">
              <w:rPr>
                <w:rFonts w:ascii="Times New Roman" w:hAnsi="Times New Roman"/>
                <w:sz w:val="22"/>
                <w:szCs w:val="22"/>
              </w:rPr>
              <w:t>2062/063</w:t>
            </w:r>
          </w:p>
        </w:tc>
        <w:tc>
          <w:tcPr>
            <w:tcW w:w="612" w:type="pct"/>
          </w:tcPr>
          <w:p w:rsidR="00DA4DD8" w:rsidRPr="007714C7" w:rsidRDefault="00DA4DD8" w:rsidP="007A5296">
            <w:pPr>
              <w:jc w:val="center"/>
              <w:rPr>
                <w:rFonts w:ascii="Times New Roman" w:hAnsi="Times New Roman"/>
              </w:rPr>
            </w:pPr>
            <w:r w:rsidRPr="007714C7">
              <w:rPr>
                <w:rFonts w:ascii="Times New Roman" w:hAnsi="Times New Roman"/>
                <w:sz w:val="22"/>
                <w:szCs w:val="22"/>
              </w:rPr>
              <w:t>2063/064</w:t>
            </w:r>
          </w:p>
        </w:tc>
        <w:tc>
          <w:tcPr>
            <w:tcW w:w="612" w:type="pct"/>
          </w:tcPr>
          <w:p w:rsidR="00DA4DD8" w:rsidRPr="007714C7" w:rsidRDefault="00DA4DD8" w:rsidP="007A5296">
            <w:pPr>
              <w:jc w:val="center"/>
              <w:rPr>
                <w:rFonts w:ascii="Times New Roman" w:hAnsi="Times New Roman"/>
              </w:rPr>
            </w:pPr>
            <w:r w:rsidRPr="007714C7">
              <w:rPr>
                <w:rFonts w:ascii="Times New Roman" w:hAnsi="Times New Roman"/>
                <w:sz w:val="22"/>
                <w:szCs w:val="22"/>
              </w:rPr>
              <w:t>2064/065</w:t>
            </w:r>
          </w:p>
        </w:tc>
        <w:tc>
          <w:tcPr>
            <w:tcW w:w="612" w:type="pct"/>
          </w:tcPr>
          <w:p w:rsidR="00DA4DD8" w:rsidRPr="007714C7" w:rsidRDefault="00DA4DD8" w:rsidP="007A5296">
            <w:pPr>
              <w:jc w:val="center"/>
              <w:rPr>
                <w:rFonts w:ascii="Times New Roman" w:hAnsi="Times New Roman"/>
              </w:rPr>
            </w:pPr>
            <w:r w:rsidRPr="007714C7">
              <w:rPr>
                <w:rFonts w:ascii="Times New Roman" w:hAnsi="Times New Roman"/>
                <w:sz w:val="22"/>
                <w:szCs w:val="22"/>
              </w:rPr>
              <w:t>2065/066</w:t>
            </w:r>
          </w:p>
        </w:tc>
        <w:tc>
          <w:tcPr>
            <w:tcW w:w="612" w:type="pct"/>
          </w:tcPr>
          <w:p w:rsidR="00DA4DD8" w:rsidRPr="007714C7" w:rsidRDefault="00DA4DD8" w:rsidP="007A5296">
            <w:pPr>
              <w:jc w:val="center"/>
              <w:rPr>
                <w:rFonts w:ascii="Times New Roman" w:hAnsi="Times New Roman"/>
              </w:rPr>
            </w:pPr>
            <w:r w:rsidRPr="007714C7">
              <w:rPr>
                <w:rFonts w:ascii="Times New Roman" w:hAnsi="Times New Roman"/>
                <w:sz w:val="22"/>
                <w:szCs w:val="22"/>
              </w:rPr>
              <w:t>2066/067</w:t>
            </w:r>
          </w:p>
        </w:tc>
        <w:tc>
          <w:tcPr>
            <w:tcW w:w="540" w:type="pct"/>
          </w:tcPr>
          <w:p w:rsidR="00DA4DD8" w:rsidRPr="007714C7" w:rsidRDefault="00DA4DD8" w:rsidP="007A5296">
            <w:pPr>
              <w:pStyle w:val="ListParagraph"/>
              <w:widowControl w:val="0"/>
              <w:tabs>
                <w:tab w:val="left" w:pos="9000"/>
              </w:tabs>
              <w:ind w:left="0"/>
              <w:jc w:val="right"/>
              <w:rPr>
                <w:rFonts w:ascii="Times New Roman" w:hAnsi="Times New Roman"/>
              </w:rPr>
            </w:pPr>
            <w:r w:rsidRPr="007714C7">
              <w:rPr>
                <w:rFonts w:ascii="Times New Roman" w:hAnsi="Times New Roman"/>
                <w:sz w:val="22"/>
                <w:szCs w:val="22"/>
              </w:rPr>
              <w:t xml:space="preserve">Mean </w:t>
            </w:r>
          </w:p>
        </w:tc>
        <w:tc>
          <w:tcPr>
            <w:tcW w:w="350" w:type="pct"/>
          </w:tcPr>
          <w:p w:rsidR="00DA4DD8" w:rsidRPr="007714C7" w:rsidRDefault="00DA4DD8" w:rsidP="007A5296">
            <w:pPr>
              <w:pStyle w:val="ListParagraph"/>
              <w:widowControl w:val="0"/>
              <w:tabs>
                <w:tab w:val="left" w:pos="9000"/>
              </w:tabs>
              <w:ind w:left="0"/>
              <w:jc w:val="right"/>
              <w:rPr>
                <w:rFonts w:ascii="Times New Roman" w:hAnsi="Times New Roman"/>
              </w:rPr>
            </w:pPr>
            <w:r w:rsidRPr="007714C7">
              <w:rPr>
                <w:rFonts w:ascii="Times New Roman" w:hAnsi="Times New Roman"/>
                <w:sz w:val="22"/>
                <w:szCs w:val="22"/>
              </w:rPr>
              <w:t xml:space="preserve">S.D </w:t>
            </w:r>
          </w:p>
        </w:tc>
        <w:tc>
          <w:tcPr>
            <w:tcW w:w="414" w:type="pct"/>
          </w:tcPr>
          <w:p w:rsidR="00DA4DD8" w:rsidRPr="007714C7" w:rsidRDefault="00DA4DD8" w:rsidP="007A5296">
            <w:pPr>
              <w:pStyle w:val="ListParagraph"/>
              <w:widowControl w:val="0"/>
              <w:tabs>
                <w:tab w:val="left" w:pos="9000"/>
              </w:tabs>
              <w:ind w:left="0"/>
              <w:jc w:val="right"/>
              <w:rPr>
                <w:rFonts w:ascii="Times New Roman" w:hAnsi="Times New Roman"/>
              </w:rPr>
            </w:pPr>
            <w:r w:rsidRPr="007714C7">
              <w:rPr>
                <w:rFonts w:ascii="Times New Roman" w:hAnsi="Times New Roman"/>
                <w:sz w:val="22"/>
                <w:szCs w:val="22"/>
              </w:rPr>
              <w:t>CV</w:t>
            </w:r>
          </w:p>
        </w:tc>
      </w:tr>
      <w:tr w:rsidR="00DA4DD8" w:rsidRPr="007714C7" w:rsidTr="007714C7">
        <w:trPr>
          <w:jc w:val="center"/>
        </w:trPr>
        <w:tc>
          <w:tcPr>
            <w:tcW w:w="635"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Loan loss provision (in million)</w:t>
            </w:r>
          </w:p>
        </w:tc>
        <w:tc>
          <w:tcPr>
            <w:tcW w:w="612"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77.40</w:t>
            </w:r>
          </w:p>
        </w:tc>
        <w:tc>
          <w:tcPr>
            <w:tcW w:w="612"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229.30</w:t>
            </w:r>
          </w:p>
        </w:tc>
        <w:tc>
          <w:tcPr>
            <w:tcW w:w="612"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263.70</w:t>
            </w:r>
          </w:p>
        </w:tc>
        <w:tc>
          <w:tcPr>
            <w:tcW w:w="612"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517.30</w:t>
            </w:r>
          </w:p>
        </w:tc>
        <w:tc>
          <w:tcPr>
            <w:tcW w:w="612"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847.8</w:t>
            </w:r>
          </w:p>
        </w:tc>
        <w:tc>
          <w:tcPr>
            <w:tcW w:w="540"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w:t>
            </w:r>
          </w:p>
        </w:tc>
        <w:tc>
          <w:tcPr>
            <w:tcW w:w="350"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w:t>
            </w:r>
          </w:p>
        </w:tc>
        <w:tc>
          <w:tcPr>
            <w:tcW w:w="414"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w:t>
            </w:r>
          </w:p>
        </w:tc>
      </w:tr>
      <w:tr w:rsidR="00DA4DD8" w:rsidRPr="007714C7" w:rsidTr="007714C7">
        <w:trPr>
          <w:jc w:val="center"/>
        </w:trPr>
        <w:tc>
          <w:tcPr>
            <w:tcW w:w="635"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Total Loan and Advances    (in million)</w:t>
            </w:r>
          </w:p>
        </w:tc>
        <w:tc>
          <w:tcPr>
            <w:tcW w:w="612"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6146.6</w:t>
            </w:r>
          </w:p>
        </w:tc>
        <w:tc>
          <w:tcPr>
            <w:tcW w:w="612"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7319.9</w:t>
            </w:r>
          </w:p>
        </w:tc>
        <w:tc>
          <w:tcPr>
            <w:tcW w:w="612"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8963.9</w:t>
            </w:r>
          </w:p>
        </w:tc>
        <w:tc>
          <w:tcPr>
            <w:tcW w:w="612"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12984.3</w:t>
            </w:r>
          </w:p>
        </w:tc>
        <w:tc>
          <w:tcPr>
            <w:tcW w:w="612"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14973.3</w:t>
            </w:r>
          </w:p>
        </w:tc>
        <w:tc>
          <w:tcPr>
            <w:tcW w:w="540"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w:t>
            </w:r>
          </w:p>
        </w:tc>
        <w:tc>
          <w:tcPr>
            <w:tcW w:w="350"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w:t>
            </w:r>
          </w:p>
        </w:tc>
        <w:tc>
          <w:tcPr>
            <w:tcW w:w="414"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w:t>
            </w:r>
          </w:p>
        </w:tc>
      </w:tr>
      <w:tr w:rsidR="00DA4DD8" w:rsidRPr="007714C7" w:rsidTr="007714C7">
        <w:trPr>
          <w:jc w:val="center"/>
        </w:trPr>
        <w:tc>
          <w:tcPr>
            <w:tcW w:w="635"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 xml:space="preserve"> Loan Loss Ratio (%)</w:t>
            </w:r>
          </w:p>
        </w:tc>
        <w:tc>
          <w:tcPr>
            <w:tcW w:w="612"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1.26</w:t>
            </w:r>
          </w:p>
        </w:tc>
        <w:tc>
          <w:tcPr>
            <w:tcW w:w="612"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3.13</w:t>
            </w:r>
          </w:p>
        </w:tc>
        <w:tc>
          <w:tcPr>
            <w:tcW w:w="612"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2.94</w:t>
            </w:r>
          </w:p>
        </w:tc>
        <w:tc>
          <w:tcPr>
            <w:tcW w:w="612"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3.98</w:t>
            </w:r>
          </w:p>
        </w:tc>
        <w:tc>
          <w:tcPr>
            <w:tcW w:w="612"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5.66</w:t>
            </w:r>
          </w:p>
        </w:tc>
        <w:tc>
          <w:tcPr>
            <w:tcW w:w="540"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3.4</w:t>
            </w:r>
          </w:p>
        </w:tc>
        <w:tc>
          <w:tcPr>
            <w:tcW w:w="350"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1.44</w:t>
            </w:r>
          </w:p>
        </w:tc>
        <w:tc>
          <w:tcPr>
            <w:tcW w:w="414" w:type="pct"/>
          </w:tcPr>
          <w:p w:rsidR="00DA4DD8" w:rsidRPr="007714C7" w:rsidRDefault="00DA4DD8" w:rsidP="007A5296">
            <w:pPr>
              <w:jc w:val="both"/>
              <w:rPr>
                <w:rFonts w:ascii="Times New Roman" w:hAnsi="Times New Roman"/>
              </w:rPr>
            </w:pPr>
            <w:r w:rsidRPr="007714C7">
              <w:rPr>
                <w:rFonts w:ascii="Times New Roman" w:hAnsi="Times New Roman"/>
                <w:sz w:val="22"/>
                <w:szCs w:val="22"/>
              </w:rPr>
              <w:t>42.35</w:t>
            </w:r>
          </w:p>
        </w:tc>
      </w:tr>
    </w:tbl>
    <w:p w:rsidR="00DA4DD8" w:rsidRPr="004A1D65" w:rsidRDefault="00DA4DD8" w:rsidP="00FD1AA2">
      <w:pPr>
        <w:spacing w:after="240" w:line="360" w:lineRule="auto"/>
        <w:rPr>
          <w:rFonts w:ascii="Times New Roman" w:hAnsi="Times New Roman"/>
          <w:b/>
          <w:i/>
        </w:rPr>
      </w:pPr>
      <w:r w:rsidRPr="004A1D65">
        <w:rPr>
          <w:rFonts w:ascii="Times New Roman" w:hAnsi="Times New Roman"/>
          <w:i/>
        </w:rPr>
        <w:t>Source: Annual Reports of MBL</w:t>
      </w:r>
    </w:p>
    <w:p w:rsidR="00DA4DD8" w:rsidRPr="00FD1AA2" w:rsidRDefault="00DA4DD8" w:rsidP="00FD1AA2">
      <w:pPr>
        <w:spacing w:after="240" w:line="360" w:lineRule="auto"/>
        <w:jc w:val="center"/>
        <w:rPr>
          <w:rFonts w:ascii="Times New Roman" w:hAnsi="Times New Roman"/>
          <w:b/>
        </w:rPr>
      </w:pPr>
      <w:r w:rsidRPr="00FD1AA2">
        <w:rPr>
          <w:rFonts w:ascii="Times New Roman" w:hAnsi="Times New Roman"/>
          <w:b/>
        </w:rPr>
        <w:lastRenderedPageBreak/>
        <w:t xml:space="preserve">Figure </w:t>
      </w:r>
      <w:r w:rsidR="004A1D65">
        <w:rPr>
          <w:rFonts w:ascii="Times New Roman" w:hAnsi="Times New Roman"/>
          <w:b/>
        </w:rPr>
        <w:t xml:space="preserve">: </w:t>
      </w:r>
      <w:r w:rsidRPr="00FD1AA2">
        <w:rPr>
          <w:rFonts w:ascii="Times New Roman" w:hAnsi="Times New Roman"/>
          <w:b/>
        </w:rPr>
        <w:t>4.5</w:t>
      </w:r>
    </w:p>
    <w:p w:rsidR="00DA4DD8" w:rsidRPr="00FD1AA2" w:rsidRDefault="00DA4DD8" w:rsidP="00FD1AA2">
      <w:pPr>
        <w:spacing w:after="240" w:line="360" w:lineRule="auto"/>
        <w:jc w:val="center"/>
        <w:rPr>
          <w:rFonts w:ascii="Times New Roman" w:hAnsi="Times New Roman"/>
          <w:b/>
        </w:rPr>
      </w:pPr>
      <w:r w:rsidRPr="00FD1AA2">
        <w:rPr>
          <w:rFonts w:ascii="Times New Roman" w:hAnsi="Times New Roman"/>
          <w:b/>
        </w:rPr>
        <w:t xml:space="preserve">Loan Loss Coverage Ratio </w:t>
      </w:r>
    </w:p>
    <w:p w:rsidR="00DA4DD8" w:rsidRPr="00FD1AA2" w:rsidRDefault="009A308E" w:rsidP="00FD1AA2">
      <w:pPr>
        <w:widowControl w:val="0"/>
        <w:tabs>
          <w:tab w:val="left" w:pos="9000"/>
        </w:tabs>
        <w:spacing w:after="240" w:line="360" w:lineRule="auto"/>
        <w:jc w:val="center"/>
        <w:rPr>
          <w:rFonts w:ascii="Times New Roman" w:hAnsi="Times New Roman"/>
          <w:b/>
        </w:rPr>
      </w:pPr>
      <w:r>
        <w:rPr>
          <w:rFonts w:ascii="Times New Roman" w:hAnsi="Times New Roman"/>
          <w:b/>
          <w:noProof/>
          <w:lang w:bidi="ar-SA"/>
        </w:rPr>
        <w:drawing>
          <wp:inline distT="0" distB="0" distL="0" distR="0">
            <wp:extent cx="5169705" cy="2863478"/>
            <wp:effectExtent l="12192" t="6096" r="11133" b="3166"/>
            <wp:docPr id="44"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A4DD8" w:rsidRPr="00FD1AA2" w:rsidRDefault="00DA4DD8" w:rsidP="00FD1AA2">
      <w:pPr>
        <w:widowControl w:val="0"/>
        <w:tabs>
          <w:tab w:val="left" w:pos="9000"/>
        </w:tabs>
        <w:spacing w:after="240" w:line="360" w:lineRule="auto"/>
        <w:jc w:val="both"/>
        <w:rPr>
          <w:rFonts w:ascii="Times New Roman" w:hAnsi="Times New Roman"/>
        </w:rPr>
      </w:pPr>
      <w:r w:rsidRPr="00FD1AA2">
        <w:rPr>
          <w:rFonts w:ascii="Times New Roman" w:hAnsi="Times New Roman"/>
        </w:rPr>
        <w:t xml:space="preserve">The above table and figure 4.5 shows loan loss coverage ratio of MBL is 1.26%, 3.13%, 2.94%, 3.98% and 5.66% in FY 2062/063 to FY 2066/067 respectively. The loan loss coverage ratio of MBL was maximum with 5.66% in FY 2066/067 and minimum with 1.26% in FY 2062/063 over the study period. It reveals that the ratios are fluctuating over the study period. The mean average of loan loss coverage ratio is 3.4%, standard deviation is 1.44 and coefficient of variation is 42.35% </w:t>
      </w:r>
    </w:p>
    <w:p w:rsidR="00DA4DD8" w:rsidRPr="00FD1AA2" w:rsidRDefault="00DA4DD8" w:rsidP="00FD1AA2">
      <w:pPr>
        <w:widowControl w:val="0"/>
        <w:spacing w:after="240" w:line="360" w:lineRule="auto"/>
        <w:jc w:val="both"/>
        <w:rPr>
          <w:rFonts w:ascii="Times New Roman" w:hAnsi="Times New Roman"/>
          <w:b/>
          <w:sz w:val="26"/>
          <w:szCs w:val="26"/>
        </w:rPr>
      </w:pPr>
      <w:r w:rsidRPr="00FD1AA2">
        <w:rPr>
          <w:rFonts w:ascii="Times New Roman" w:hAnsi="Times New Roman"/>
          <w:b/>
          <w:sz w:val="26"/>
          <w:szCs w:val="26"/>
        </w:rPr>
        <w:t xml:space="preserve">4.3 </w:t>
      </w:r>
      <w:r w:rsidRPr="00FD1AA2">
        <w:rPr>
          <w:rFonts w:ascii="Times New Roman" w:hAnsi="Times New Roman"/>
          <w:b/>
          <w:sz w:val="26"/>
          <w:szCs w:val="26"/>
        </w:rPr>
        <w:tab/>
        <w:t>Management Quality</w:t>
      </w:r>
    </w:p>
    <w:p w:rsidR="00DA4DD8" w:rsidRPr="00FD1AA2" w:rsidRDefault="00DA4DD8" w:rsidP="00FD1AA2">
      <w:pPr>
        <w:widowControl w:val="0"/>
        <w:tabs>
          <w:tab w:val="left" w:pos="9000"/>
        </w:tabs>
        <w:spacing w:after="240" w:line="360" w:lineRule="auto"/>
        <w:jc w:val="both"/>
        <w:rPr>
          <w:rFonts w:ascii="Times New Roman" w:hAnsi="Times New Roman"/>
        </w:rPr>
      </w:pPr>
      <w:r w:rsidRPr="00FD1AA2">
        <w:rPr>
          <w:rFonts w:ascii="Times New Roman" w:hAnsi="Times New Roman"/>
        </w:rPr>
        <w:t>While the other factors can be quantified fairly easily from current financial statements, management quality being subjective is difficult to quantify. There is one measure that is relevant to management is the ratio of total expenses to total revenue. Another measure that is also relevant to management is the ratio of earning per employee is used as a proxy of management quality.</w:t>
      </w:r>
    </w:p>
    <w:p w:rsidR="00DA4DD8" w:rsidRPr="004A1D65" w:rsidRDefault="00DA4DD8" w:rsidP="00FD1AA2">
      <w:pPr>
        <w:widowControl w:val="0"/>
        <w:spacing w:after="240" w:line="360" w:lineRule="auto"/>
        <w:jc w:val="both"/>
        <w:rPr>
          <w:rFonts w:ascii="Times New Roman" w:hAnsi="Times New Roman"/>
          <w:b/>
          <w:sz w:val="28"/>
        </w:rPr>
      </w:pPr>
      <w:r w:rsidRPr="004A1D65">
        <w:rPr>
          <w:rFonts w:ascii="Times New Roman" w:hAnsi="Times New Roman"/>
          <w:b/>
          <w:sz w:val="28"/>
        </w:rPr>
        <w:t xml:space="preserve">4.3.1 </w:t>
      </w:r>
      <w:r w:rsidRPr="004A1D65">
        <w:rPr>
          <w:rFonts w:ascii="Times New Roman" w:hAnsi="Times New Roman"/>
          <w:b/>
          <w:sz w:val="28"/>
        </w:rPr>
        <w:tab/>
        <w:t>Total Expenses to Total Revenue Ratio</w:t>
      </w:r>
    </w:p>
    <w:p w:rsidR="00DA4DD8" w:rsidRPr="00FD1AA2" w:rsidRDefault="00DA4DD8" w:rsidP="00FD1AA2">
      <w:pPr>
        <w:widowControl w:val="0"/>
        <w:tabs>
          <w:tab w:val="left" w:pos="9000"/>
        </w:tabs>
        <w:spacing w:after="240" w:line="360" w:lineRule="auto"/>
        <w:jc w:val="both"/>
        <w:rPr>
          <w:rFonts w:ascii="Times New Roman" w:hAnsi="Times New Roman"/>
        </w:rPr>
      </w:pPr>
      <w:r w:rsidRPr="00FD1AA2">
        <w:rPr>
          <w:rFonts w:ascii="Times New Roman" w:hAnsi="Times New Roman"/>
        </w:rPr>
        <w:t xml:space="preserve">The ratio of total expenses to total revenue is used as a proxy measure of the management quality. </w:t>
      </w:r>
      <w:r w:rsidR="007714C7">
        <w:rPr>
          <w:rFonts w:ascii="Times New Roman" w:hAnsi="Times New Roman"/>
        </w:rPr>
        <w:t xml:space="preserve">A high level of expenditure in unproductive activities may </w:t>
      </w:r>
      <w:r w:rsidR="007714C7">
        <w:rPr>
          <w:rFonts w:ascii="Times New Roman" w:hAnsi="Times New Roman"/>
        </w:rPr>
        <w:lastRenderedPageBreak/>
        <w:t xml:space="preserve">reflect an inefficient management. A high or increasing ratio of expenses to total income indicates inefficient operation of the company which may negatively affect profitability of the company. </w:t>
      </w:r>
      <w:r w:rsidRPr="00FD1AA2">
        <w:rPr>
          <w:rFonts w:ascii="Times New Roman" w:hAnsi="Times New Roman"/>
        </w:rPr>
        <w:t>This ratio is calculated by dividing the total expenses by total revenues. Commercial bank’s earning originate from interest on loans and advances, investments, commissions and discounts, Foreign Exchange Rate, gains and other miscellaneous income. Conversely, it expends on, Depositors’ interest, Staff Salary, Provident Fund, Allowances and   other operating expenses like rent, water and electricity, fuel expenses, audit fee expenses, management expenses, depreciation, miscellaneous expenses and all other expenses directly related to the operation of bank. Expenses such as loss on sale of assets, write off expenses, losses shortage, written off, provision for income tax are non operating expenses.</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 xml:space="preserve">Table </w:t>
      </w:r>
      <w:r w:rsidR="00C47458">
        <w:rPr>
          <w:rFonts w:ascii="Times New Roman" w:hAnsi="Times New Roman"/>
          <w:b/>
        </w:rPr>
        <w:t xml:space="preserve">: </w:t>
      </w:r>
      <w:r w:rsidRPr="00FD1AA2">
        <w:rPr>
          <w:rFonts w:ascii="Times New Roman" w:hAnsi="Times New Roman"/>
          <w:b/>
        </w:rPr>
        <w:t>4.6</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Total Expenses to Total Revenue Ratio</w:t>
      </w:r>
    </w:p>
    <w:tbl>
      <w:tblPr>
        <w:tblW w:w="535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123"/>
        <w:gridCol w:w="1123"/>
        <w:gridCol w:w="1123"/>
        <w:gridCol w:w="1123"/>
        <w:gridCol w:w="1236"/>
        <w:gridCol w:w="1236"/>
        <w:gridCol w:w="876"/>
        <w:gridCol w:w="636"/>
        <w:gridCol w:w="756"/>
      </w:tblGrid>
      <w:tr w:rsidR="00DA4DD8" w:rsidRPr="00FD1AA2" w:rsidTr="00DA4DD8">
        <w:trPr>
          <w:jc w:val="center"/>
        </w:trPr>
        <w:tc>
          <w:tcPr>
            <w:tcW w:w="833" w:type="pct"/>
          </w:tcPr>
          <w:p w:rsidR="00DA4DD8" w:rsidRPr="00FD1AA2" w:rsidRDefault="00DA4DD8" w:rsidP="007A5296">
            <w:pPr>
              <w:spacing w:after="120"/>
              <w:jc w:val="both"/>
              <w:rPr>
                <w:rFonts w:ascii="Times New Roman" w:hAnsi="Times New Roman"/>
              </w:rPr>
            </w:pPr>
            <w:r w:rsidRPr="00FD1AA2">
              <w:rPr>
                <w:rFonts w:ascii="Times New Roman" w:hAnsi="Times New Roman"/>
              </w:rPr>
              <w:t>Fiscal year</w:t>
            </w:r>
          </w:p>
        </w:tc>
        <w:tc>
          <w:tcPr>
            <w:tcW w:w="574" w:type="pct"/>
          </w:tcPr>
          <w:p w:rsidR="00DA4DD8" w:rsidRPr="00FD1AA2" w:rsidRDefault="00DA4DD8" w:rsidP="007A5296">
            <w:pPr>
              <w:spacing w:after="120"/>
              <w:jc w:val="both"/>
              <w:rPr>
                <w:rFonts w:ascii="Times New Roman" w:hAnsi="Times New Roman"/>
              </w:rPr>
            </w:pPr>
            <w:r w:rsidRPr="00FD1AA2">
              <w:rPr>
                <w:rFonts w:ascii="Times New Roman" w:hAnsi="Times New Roman"/>
              </w:rPr>
              <w:t>2062/063</w:t>
            </w:r>
          </w:p>
        </w:tc>
        <w:tc>
          <w:tcPr>
            <w:tcW w:w="587" w:type="pct"/>
          </w:tcPr>
          <w:p w:rsidR="00DA4DD8" w:rsidRPr="00FD1AA2" w:rsidRDefault="00DA4DD8" w:rsidP="007A5296">
            <w:pPr>
              <w:spacing w:after="120"/>
              <w:jc w:val="both"/>
              <w:rPr>
                <w:rFonts w:ascii="Times New Roman" w:hAnsi="Times New Roman"/>
              </w:rPr>
            </w:pPr>
            <w:r w:rsidRPr="00FD1AA2">
              <w:rPr>
                <w:rFonts w:ascii="Times New Roman" w:hAnsi="Times New Roman"/>
              </w:rPr>
              <w:t>2063/064</w:t>
            </w:r>
          </w:p>
        </w:tc>
        <w:tc>
          <w:tcPr>
            <w:tcW w:w="574" w:type="pct"/>
          </w:tcPr>
          <w:p w:rsidR="00DA4DD8" w:rsidRPr="00FD1AA2" w:rsidRDefault="00DA4DD8" w:rsidP="007A5296">
            <w:pPr>
              <w:spacing w:after="120"/>
              <w:jc w:val="both"/>
              <w:rPr>
                <w:rFonts w:ascii="Times New Roman" w:hAnsi="Times New Roman"/>
              </w:rPr>
            </w:pPr>
            <w:r w:rsidRPr="00FD1AA2">
              <w:rPr>
                <w:rFonts w:ascii="Times New Roman" w:hAnsi="Times New Roman"/>
              </w:rPr>
              <w:t>2064/065</w:t>
            </w:r>
          </w:p>
        </w:tc>
        <w:tc>
          <w:tcPr>
            <w:tcW w:w="631" w:type="pct"/>
          </w:tcPr>
          <w:p w:rsidR="00DA4DD8" w:rsidRPr="00FD1AA2" w:rsidRDefault="00DA4DD8" w:rsidP="007A5296">
            <w:pPr>
              <w:spacing w:after="120"/>
              <w:jc w:val="both"/>
              <w:rPr>
                <w:rFonts w:ascii="Times New Roman" w:hAnsi="Times New Roman"/>
              </w:rPr>
            </w:pPr>
            <w:r w:rsidRPr="00FD1AA2">
              <w:rPr>
                <w:rFonts w:ascii="Times New Roman" w:hAnsi="Times New Roman"/>
              </w:rPr>
              <w:t>2065/066</w:t>
            </w:r>
          </w:p>
        </w:tc>
        <w:tc>
          <w:tcPr>
            <w:tcW w:w="631" w:type="pct"/>
          </w:tcPr>
          <w:p w:rsidR="00DA4DD8" w:rsidRPr="00FD1AA2" w:rsidRDefault="00DA4DD8" w:rsidP="007A5296">
            <w:pPr>
              <w:spacing w:after="120"/>
              <w:jc w:val="both"/>
              <w:rPr>
                <w:rFonts w:ascii="Times New Roman" w:hAnsi="Times New Roman"/>
              </w:rPr>
            </w:pPr>
            <w:r w:rsidRPr="00FD1AA2">
              <w:rPr>
                <w:rFonts w:ascii="Times New Roman" w:hAnsi="Times New Roman"/>
              </w:rPr>
              <w:t>2066/067</w:t>
            </w:r>
          </w:p>
        </w:tc>
        <w:tc>
          <w:tcPr>
            <w:tcW w:w="450" w:type="pct"/>
          </w:tcPr>
          <w:p w:rsidR="00DA4DD8" w:rsidRPr="00FD1AA2" w:rsidRDefault="00DA4DD8" w:rsidP="007A5296">
            <w:pPr>
              <w:pStyle w:val="ListParagraph"/>
              <w:widowControl w:val="0"/>
              <w:tabs>
                <w:tab w:val="left" w:pos="9000"/>
              </w:tabs>
              <w:spacing w:after="120"/>
              <w:ind w:left="0"/>
              <w:jc w:val="right"/>
              <w:rPr>
                <w:rFonts w:ascii="Times New Roman" w:hAnsi="Times New Roman"/>
              </w:rPr>
            </w:pPr>
            <w:r w:rsidRPr="00FD1AA2">
              <w:rPr>
                <w:rFonts w:ascii="Times New Roman" w:hAnsi="Times New Roman"/>
              </w:rPr>
              <w:t xml:space="preserve">Mean </w:t>
            </w:r>
          </w:p>
        </w:tc>
        <w:tc>
          <w:tcPr>
            <w:tcW w:w="329" w:type="pct"/>
          </w:tcPr>
          <w:p w:rsidR="00DA4DD8" w:rsidRPr="00FD1AA2" w:rsidRDefault="00DA4DD8" w:rsidP="007A5296">
            <w:pPr>
              <w:pStyle w:val="ListParagraph"/>
              <w:widowControl w:val="0"/>
              <w:tabs>
                <w:tab w:val="left" w:pos="9000"/>
              </w:tabs>
              <w:spacing w:after="120"/>
              <w:ind w:left="0"/>
              <w:jc w:val="right"/>
              <w:rPr>
                <w:rFonts w:ascii="Times New Roman" w:hAnsi="Times New Roman"/>
              </w:rPr>
            </w:pPr>
            <w:r w:rsidRPr="00FD1AA2">
              <w:rPr>
                <w:rFonts w:ascii="Times New Roman" w:hAnsi="Times New Roman"/>
              </w:rPr>
              <w:t xml:space="preserve">S.D </w:t>
            </w:r>
          </w:p>
        </w:tc>
        <w:tc>
          <w:tcPr>
            <w:tcW w:w="390" w:type="pct"/>
          </w:tcPr>
          <w:p w:rsidR="00DA4DD8" w:rsidRPr="00FD1AA2" w:rsidRDefault="00DA4DD8" w:rsidP="007A5296">
            <w:pPr>
              <w:pStyle w:val="ListParagraph"/>
              <w:widowControl w:val="0"/>
              <w:tabs>
                <w:tab w:val="left" w:pos="9000"/>
              </w:tabs>
              <w:spacing w:after="120"/>
              <w:ind w:left="0"/>
              <w:jc w:val="right"/>
              <w:rPr>
                <w:rFonts w:ascii="Times New Roman" w:hAnsi="Times New Roman"/>
              </w:rPr>
            </w:pPr>
            <w:r w:rsidRPr="00FD1AA2">
              <w:rPr>
                <w:rFonts w:ascii="Times New Roman" w:hAnsi="Times New Roman"/>
              </w:rPr>
              <w:t>CV</w:t>
            </w:r>
          </w:p>
        </w:tc>
      </w:tr>
      <w:tr w:rsidR="00DA4DD8" w:rsidRPr="00FD1AA2" w:rsidTr="00DA4DD8">
        <w:trPr>
          <w:jc w:val="center"/>
        </w:trPr>
        <w:tc>
          <w:tcPr>
            <w:tcW w:w="833" w:type="pct"/>
          </w:tcPr>
          <w:p w:rsidR="00DA4DD8" w:rsidRPr="00FD1AA2" w:rsidRDefault="00DA4DD8" w:rsidP="007A5296">
            <w:pPr>
              <w:spacing w:after="120"/>
              <w:jc w:val="both"/>
              <w:rPr>
                <w:rFonts w:ascii="Times New Roman" w:hAnsi="Times New Roman"/>
              </w:rPr>
            </w:pPr>
            <w:r w:rsidRPr="00FD1AA2">
              <w:rPr>
                <w:rFonts w:ascii="Times New Roman" w:hAnsi="Times New Roman"/>
              </w:rPr>
              <w:t xml:space="preserve">Total Expenses </w:t>
            </w:r>
          </w:p>
          <w:p w:rsidR="00DA4DD8" w:rsidRPr="00FD1AA2" w:rsidRDefault="00DA4DD8" w:rsidP="007A5296">
            <w:pPr>
              <w:spacing w:after="120"/>
              <w:jc w:val="both"/>
              <w:rPr>
                <w:rFonts w:ascii="Times New Roman" w:hAnsi="Times New Roman"/>
              </w:rPr>
            </w:pPr>
            <w:r w:rsidRPr="00FD1AA2">
              <w:rPr>
                <w:rFonts w:ascii="Times New Roman" w:hAnsi="Times New Roman"/>
              </w:rPr>
              <w:t>(in million)</w:t>
            </w:r>
          </w:p>
        </w:tc>
        <w:tc>
          <w:tcPr>
            <w:tcW w:w="574" w:type="pct"/>
          </w:tcPr>
          <w:p w:rsidR="00DA4DD8" w:rsidRPr="00FD1AA2" w:rsidRDefault="00DA4DD8" w:rsidP="007A5296">
            <w:pPr>
              <w:spacing w:after="120"/>
              <w:rPr>
                <w:rFonts w:ascii="Times New Roman" w:hAnsi="Times New Roman"/>
              </w:rPr>
            </w:pPr>
            <w:r w:rsidRPr="00FD1AA2">
              <w:rPr>
                <w:rFonts w:ascii="Times New Roman" w:hAnsi="Times New Roman"/>
              </w:rPr>
              <w:t>483.7993</w:t>
            </w:r>
          </w:p>
        </w:tc>
        <w:tc>
          <w:tcPr>
            <w:tcW w:w="587" w:type="pct"/>
          </w:tcPr>
          <w:p w:rsidR="00DA4DD8" w:rsidRPr="00FD1AA2" w:rsidRDefault="00DA4DD8" w:rsidP="007A5296">
            <w:pPr>
              <w:spacing w:after="120"/>
              <w:rPr>
                <w:rFonts w:ascii="Times New Roman" w:hAnsi="Times New Roman"/>
              </w:rPr>
            </w:pPr>
            <w:r w:rsidRPr="00FD1AA2">
              <w:rPr>
                <w:rFonts w:ascii="Times New Roman" w:hAnsi="Times New Roman"/>
              </w:rPr>
              <w:t>590.8127</w:t>
            </w:r>
          </w:p>
        </w:tc>
        <w:tc>
          <w:tcPr>
            <w:tcW w:w="574" w:type="pct"/>
          </w:tcPr>
          <w:p w:rsidR="00DA4DD8" w:rsidRPr="00FD1AA2" w:rsidRDefault="00DA4DD8" w:rsidP="007A5296">
            <w:pPr>
              <w:spacing w:after="120"/>
              <w:rPr>
                <w:rFonts w:ascii="Times New Roman" w:hAnsi="Times New Roman"/>
              </w:rPr>
            </w:pPr>
            <w:r w:rsidRPr="00FD1AA2">
              <w:rPr>
                <w:rFonts w:ascii="Times New Roman" w:hAnsi="Times New Roman"/>
              </w:rPr>
              <w:t>671.2207</w:t>
            </w:r>
          </w:p>
        </w:tc>
        <w:tc>
          <w:tcPr>
            <w:tcW w:w="631" w:type="pct"/>
          </w:tcPr>
          <w:p w:rsidR="00DA4DD8" w:rsidRPr="00FD1AA2" w:rsidRDefault="00DA4DD8" w:rsidP="007A5296">
            <w:pPr>
              <w:spacing w:after="120"/>
              <w:rPr>
                <w:rFonts w:ascii="Times New Roman" w:hAnsi="Times New Roman"/>
              </w:rPr>
            </w:pPr>
            <w:r w:rsidRPr="00FD1AA2">
              <w:rPr>
                <w:rFonts w:ascii="Times New Roman" w:hAnsi="Times New Roman"/>
              </w:rPr>
              <w:t>897.7229</w:t>
            </w:r>
          </w:p>
        </w:tc>
        <w:tc>
          <w:tcPr>
            <w:tcW w:w="631" w:type="pct"/>
          </w:tcPr>
          <w:p w:rsidR="00DA4DD8" w:rsidRPr="00FD1AA2" w:rsidRDefault="00DA4DD8" w:rsidP="007A5296">
            <w:pPr>
              <w:spacing w:after="120"/>
              <w:rPr>
                <w:rFonts w:ascii="Times New Roman" w:hAnsi="Times New Roman"/>
              </w:rPr>
            </w:pPr>
            <w:r w:rsidRPr="00FD1AA2">
              <w:rPr>
                <w:rFonts w:ascii="Times New Roman" w:hAnsi="Times New Roman"/>
              </w:rPr>
              <w:t>1517.7314</w:t>
            </w:r>
          </w:p>
        </w:tc>
        <w:tc>
          <w:tcPr>
            <w:tcW w:w="450" w:type="pct"/>
          </w:tcPr>
          <w:p w:rsidR="00DA4DD8" w:rsidRPr="00FD1AA2" w:rsidRDefault="00DA4DD8" w:rsidP="007A5296">
            <w:pPr>
              <w:spacing w:after="120"/>
              <w:rPr>
                <w:rFonts w:ascii="Times New Roman" w:hAnsi="Times New Roman"/>
              </w:rPr>
            </w:pPr>
            <w:r w:rsidRPr="00FD1AA2">
              <w:rPr>
                <w:rFonts w:ascii="Times New Roman" w:hAnsi="Times New Roman"/>
              </w:rPr>
              <w:t>-</w:t>
            </w:r>
          </w:p>
        </w:tc>
        <w:tc>
          <w:tcPr>
            <w:tcW w:w="329" w:type="pct"/>
          </w:tcPr>
          <w:p w:rsidR="00DA4DD8" w:rsidRPr="00FD1AA2" w:rsidRDefault="00DA4DD8" w:rsidP="007A5296">
            <w:pPr>
              <w:spacing w:after="120"/>
              <w:rPr>
                <w:rFonts w:ascii="Times New Roman" w:hAnsi="Times New Roman"/>
              </w:rPr>
            </w:pPr>
            <w:r w:rsidRPr="00FD1AA2">
              <w:rPr>
                <w:rFonts w:ascii="Times New Roman" w:hAnsi="Times New Roman"/>
              </w:rPr>
              <w:t>-</w:t>
            </w:r>
          </w:p>
        </w:tc>
        <w:tc>
          <w:tcPr>
            <w:tcW w:w="390" w:type="pct"/>
          </w:tcPr>
          <w:p w:rsidR="00DA4DD8" w:rsidRPr="00FD1AA2" w:rsidRDefault="00DA4DD8" w:rsidP="007A5296">
            <w:pPr>
              <w:spacing w:after="120"/>
              <w:rPr>
                <w:rFonts w:ascii="Times New Roman" w:hAnsi="Times New Roman"/>
              </w:rPr>
            </w:pPr>
            <w:r w:rsidRPr="00FD1AA2">
              <w:rPr>
                <w:rFonts w:ascii="Times New Roman" w:hAnsi="Times New Roman"/>
              </w:rPr>
              <w:t>-</w:t>
            </w:r>
          </w:p>
        </w:tc>
      </w:tr>
      <w:tr w:rsidR="00DA4DD8" w:rsidRPr="00FD1AA2" w:rsidTr="00DA4DD8">
        <w:trPr>
          <w:jc w:val="center"/>
        </w:trPr>
        <w:tc>
          <w:tcPr>
            <w:tcW w:w="833" w:type="pct"/>
          </w:tcPr>
          <w:p w:rsidR="00DA4DD8" w:rsidRPr="00FD1AA2" w:rsidRDefault="00DA4DD8" w:rsidP="007A5296">
            <w:pPr>
              <w:spacing w:after="120"/>
              <w:jc w:val="both"/>
              <w:rPr>
                <w:rFonts w:ascii="Times New Roman" w:hAnsi="Times New Roman"/>
              </w:rPr>
            </w:pPr>
            <w:r w:rsidRPr="00FD1AA2">
              <w:rPr>
                <w:rFonts w:ascii="Times New Roman" w:hAnsi="Times New Roman"/>
              </w:rPr>
              <w:t>Total Income (in million)</w:t>
            </w:r>
          </w:p>
        </w:tc>
        <w:tc>
          <w:tcPr>
            <w:tcW w:w="574" w:type="pct"/>
          </w:tcPr>
          <w:p w:rsidR="00DA4DD8" w:rsidRPr="00FD1AA2" w:rsidRDefault="00DA4DD8" w:rsidP="007A5296">
            <w:pPr>
              <w:spacing w:after="120"/>
              <w:rPr>
                <w:rFonts w:ascii="Times New Roman" w:hAnsi="Times New Roman"/>
              </w:rPr>
            </w:pPr>
            <w:r w:rsidRPr="00FD1AA2">
              <w:rPr>
                <w:rFonts w:ascii="Times New Roman" w:hAnsi="Times New Roman"/>
              </w:rPr>
              <w:t>645.6074</w:t>
            </w:r>
          </w:p>
        </w:tc>
        <w:tc>
          <w:tcPr>
            <w:tcW w:w="587" w:type="pct"/>
          </w:tcPr>
          <w:p w:rsidR="00DA4DD8" w:rsidRPr="00FD1AA2" w:rsidRDefault="00DA4DD8" w:rsidP="007A5296">
            <w:pPr>
              <w:spacing w:after="120"/>
              <w:rPr>
                <w:rFonts w:ascii="Times New Roman" w:hAnsi="Times New Roman"/>
              </w:rPr>
            </w:pPr>
            <w:r w:rsidRPr="00FD1AA2">
              <w:rPr>
                <w:rFonts w:ascii="Times New Roman" w:hAnsi="Times New Roman"/>
              </w:rPr>
              <w:t>806.8626</w:t>
            </w:r>
          </w:p>
        </w:tc>
        <w:tc>
          <w:tcPr>
            <w:tcW w:w="574" w:type="pct"/>
          </w:tcPr>
          <w:p w:rsidR="00DA4DD8" w:rsidRPr="00FD1AA2" w:rsidRDefault="00DA4DD8" w:rsidP="007A5296">
            <w:pPr>
              <w:spacing w:after="120"/>
              <w:rPr>
                <w:rFonts w:ascii="Times New Roman" w:hAnsi="Times New Roman"/>
              </w:rPr>
            </w:pPr>
            <w:r w:rsidRPr="00FD1AA2">
              <w:rPr>
                <w:rFonts w:ascii="Times New Roman" w:hAnsi="Times New Roman"/>
              </w:rPr>
              <w:t>907.9848</w:t>
            </w:r>
          </w:p>
        </w:tc>
        <w:tc>
          <w:tcPr>
            <w:tcW w:w="631" w:type="pct"/>
          </w:tcPr>
          <w:p w:rsidR="00DA4DD8" w:rsidRPr="00FD1AA2" w:rsidRDefault="00DA4DD8" w:rsidP="007A5296">
            <w:pPr>
              <w:spacing w:after="120"/>
              <w:rPr>
                <w:rFonts w:ascii="Times New Roman" w:hAnsi="Times New Roman"/>
              </w:rPr>
            </w:pPr>
            <w:r w:rsidRPr="00FD1AA2">
              <w:rPr>
                <w:rFonts w:ascii="Times New Roman" w:hAnsi="Times New Roman"/>
              </w:rPr>
              <w:t>1196.4438</w:t>
            </w:r>
          </w:p>
        </w:tc>
        <w:tc>
          <w:tcPr>
            <w:tcW w:w="631" w:type="pct"/>
          </w:tcPr>
          <w:p w:rsidR="00DA4DD8" w:rsidRPr="00FD1AA2" w:rsidRDefault="00DA4DD8" w:rsidP="007A5296">
            <w:pPr>
              <w:spacing w:after="120"/>
              <w:rPr>
                <w:rFonts w:ascii="Times New Roman" w:hAnsi="Times New Roman"/>
              </w:rPr>
            </w:pPr>
            <w:r w:rsidRPr="00FD1AA2">
              <w:rPr>
                <w:rFonts w:ascii="Times New Roman" w:hAnsi="Times New Roman"/>
              </w:rPr>
              <w:t>1841.8509</w:t>
            </w:r>
          </w:p>
        </w:tc>
        <w:tc>
          <w:tcPr>
            <w:tcW w:w="450" w:type="pct"/>
          </w:tcPr>
          <w:p w:rsidR="00DA4DD8" w:rsidRPr="00FD1AA2" w:rsidRDefault="00DA4DD8" w:rsidP="007A5296">
            <w:pPr>
              <w:spacing w:after="120"/>
              <w:rPr>
                <w:rFonts w:ascii="Times New Roman" w:hAnsi="Times New Roman"/>
              </w:rPr>
            </w:pPr>
            <w:r w:rsidRPr="00FD1AA2">
              <w:rPr>
                <w:rFonts w:ascii="Times New Roman" w:hAnsi="Times New Roman"/>
              </w:rPr>
              <w:t>-</w:t>
            </w:r>
          </w:p>
        </w:tc>
        <w:tc>
          <w:tcPr>
            <w:tcW w:w="329" w:type="pct"/>
          </w:tcPr>
          <w:p w:rsidR="00DA4DD8" w:rsidRPr="00FD1AA2" w:rsidRDefault="00DA4DD8" w:rsidP="007A5296">
            <w:pPr>
              <w:spacing w:after="120"/>
              <w:rPr>
                <w:rFonts w:ascii="Times New Roman" w:hAnsi="Times New Roman"/>
              </w:rPr>
            </w:pPr>
            <w:r w:rsidRPr="00FD1AA2">
              <w:rPr>
                <w:rFonts w:ascii="Times New Roman" w:hAnsi="Times New Roman"/>
              </w:rPr>
              <w:t>-</w:t>
            </w:r>
          </w:p>
        </w:tc>
        <w:tc>
          <w:tcPr>
            <w:tcW w:w="390" w:type="pct"/>
          </w:tcPr>
          <w:p w:rsidR="00DA4DD8" w:rsidRPr="00FD1AA2" w:rsidRDefault="00DA4DD8" w:rsidP="007A5296">
            <w:pPr>
              <w:spacing w:after="120"/>
              <w:rPr>
                <w:rFonts w:ascii="Times New Roman" w:hAnsi="Times New Roman"/>
              </w:rPr>
            </w:pPr>
            <w:r w:rsidRPr="00FD1AA2">
              <w:rPr>
                <w:rFonts w:ascii="Times New Roman" w:hAnsi="Times New Roman"/>
              </w:rPr>
              <w:t>-</w:t>
            </w:r>
          </w:p>
        </w:tc>
      </w:tr>
      <w:tr w:rsidR="00DA4DD8" w:rsidRPr="00FD1AA2" w:rsidTr="00DA4DD8">
        <w:trPr>
          <w:jc w:val="center"/>
        </w:trPr>
        <w:tc>
          <w:tcPr>
            <w:tcW w:w="833" w:type="pct"/>
          </w:tcPr>
          <w:p w:rsidR="00DA4DD8" w:rsidRPr="00FD1AA2" w:rsidRDefault="00DA4DD8" w:rsidP="007A5296">
            <w:pPr>
              <w:spacing w:after="120"/>
              <w:jc w:val="both"/>
              <w:rPr>
                <w:rFonts w:ascii="Times New Roman" w:hAnsi="Times New Roman"/>
              </w:rPr>
            </w:pPr>
            <w:r w:rsidRPr="00FD1AA2">
              <w:rPr>
                <w:rFonts w:ascii="Times New Roman" w:hAnsi="Times New Roman"/>
              </w:rPr>
              <w:t xml:space="preserve"> Total Expenses to Total Income Ratio (%) </w:t>
            </w:r>
          </w:p>
        </w:tc>
        <w:tc>
          <w:tcPr>
            <w:tcW w:w="574" w:type="pct"/>
          </w:tcPr>
          <w:p w:rsidR="00DA4DD8" w:rsidRPr="00FD1AA2" w:rsidRDefault="00DA4DD8" w:rsidP="007A5296">
            <w:pPr>
              <w:spacing w:after="120"/>
              <w:rPr>
                <w:rFonts w:ascii="Times New Roman" w:hAnsi="Times New Roman"/>
              </w:rPr>
            </w:pPr>
            <w:r w:rsidRPr="00FD1AA2">
              <w:rPr>
                <w:rFonts w:ascii="Times New Roman" w:hAnsi="Times New Roman"/>
              </w:rPr>
              <w:t>74.94</w:t>
            </w:r>
          </w:p>
        </w:tc>
        <w:tc>
          <w:tcPr>
            <w:tcW w:w="587" w:type="pct"/>
          </w:tcPr>
          <w:p w:rsidR="00DA4DD8" w:rsidRPr="00FD1AA2" w:rsidRDefault="00DA4DD8" w:rsidP="007A5296">
            <w:pPr>
              <w:spacing w:after="120"/>
              <w:rPr>
                <w:rFonts w:ascii="Times New Roman" w:hAnsi="Times New Roman"/>
              </w:rPr>
            </w:pPr>
            <w:r w:rsidRPr="00FD1AA2">
              <w:rPr>
                <w:rFonts w:ascii="Times New Roman" w:hAnsi="Times New Roman"/>
              </w:rPr>
              <w:t>73.22</w:t>
            </w:r>
          </w:p>
        </w:tc>
        <w:tc>
          <w:tcPr>
            <w:tcW w:w="574" w:type="pct"/>
          </w:tcPr>
          <w:p w:rsidR="00DA4DD8" w:rsidRPr="00FD1AA2" w:rsidRDefault="00DA4DD8" w:rsidP="007A5296">
            <w:pPr>
              <w:spacing w:after="120"/>
              <w:rPr>
                <w:rFonts w:ascii="Times New Roman" w:hAnsi="Times New Roman"/>
              </w:rPr>
            </w:pPr>
            <w:r w:rsidRPr="00FD1AA2">
              <w:rPr>
                <w:rFonts w:ascii="Times New Roman" w:hAnsi="Times New Roman"/>
              </w:rPr>
              <w:t>73.92</w:t>
            </w:r>
          </w:p>
        </w:tc>
        <w:tc>
          <w:tcPr>
            <w:tcW w:w="631" w:type="pct"/>
          </w:tcPr>
          <w:p w:rsidR="00DA4DD8" w:rsidRPr="00FD1AA2" w:rsidRDefault="00DA4DD8" w:rsidP="007A5296">
            <w:pPr>
              <w:spacing w:after="120"/>
              <w:rPr>
                <w:rFonts w:ascii="Times New Roman" w:hAnsi="Times New Roman"/>
              </w:rPr>
            </w:pPr>
            <w:r w:rsidRPr="00FD1AA2">
              <w:rPr>
                <w:rFonts w:ascii="Times New Roman" w:hAnsi="Times New Roman"/>
              </w:rPr>
              <w:t>75.03</w:t>
            </w:r>
          </w:p>
        </w:tc>
        <w:tc>
          <w:tcPr>
            <w:tcW w:w="631" w:type="pct"/>
          </w:tcPr>
          <w:p w:rsidR="00DA4DD8" w:rsidRPr="00FD1AA2" w:rsidRDefault="00DA4DD8" w:rsidP="007A5296">
            <w:pPr>
              <w:spacing w:after="120"/>
              <w:rPr>
                <w:rFonts w:ascii="Times New Roman" w:hAnsi="Times New Roman"/>
              </w:rPr>
            </w:pPr>
            <w:r w:rsidRPr="00FD1AA2">
              <w:rPr>
                <w:rFonts w:ascii="Times New Roman" w:hAnsi="Times New Roman"/>
              </w:rPr>
              <w:t>82.40</w:t>
            </w:r>
          </w:p>
        </w:tc>
        <w:tc>
          <w:tcPr>
            <w:tcW w:w="450" w:type="pct"/>
          </w:tcPr>
          <w:p w:rsidR="00DA4DD8" w:rsidRPr="00FD1AA2" w:rsidRDefault="00DA4DD8" w:rsidP="007A5296">
            <w:pPr>
              <w:spacing w:after="120"/>
              <w:rPr>
                <w:rFonts w:ascii="Times New Roman" w:hAnsi="Times New Roman"/>
              </w:rPr>
            </w:pPr>
            <w:r w:rsidRPr="00FD1AA2">
              <w:rPr>
                <w:rFonts w:ascii="Times New Roman" w:hAnsi="Times New Roman"/>
              </w:rPr>
              <w:t>75.902</w:t>
            </w:r>
          </w:p>
        </w:tc>
        <w:tc>
          <w:tcPr>
            <w:tcW w:w="329" w:type="pct"/>
          </w:tcPr>
          <w:p w:rsidR="00DA4DD8" w:rsidRPr="00FD1AA2" w:rsidRDefault="00DA4DD8" w:rsidP="007A5296">
            <w:pPr>
              <w:spacing w:after="120"/>
              <w:rPr>
                <w:rFonts w:ascii="Times New Roman" w:hAnsi="Times New Roman"/>
              </w:rPr>
            </w:pPr>
            <w:r w:rsidRPr="00FD1AA2">
              <w:rPr>
                <w:rFonts w:ascii="Times New Roman" w:hAnsi="Times New Roman"/>
              </w:rPr>
              <w:t>3.32</w:t>
            </w:r>
          </w:p>
        </w:tc>
        <w:tc>
          <w:tcPr>
            <w:tcW w:w="390" w:type="pct"/>
          </w:tcPr>
          <w:p w:rsidR="00DA4DD8" w:rsidRPr="00FD1AA2" w:rsidRDefault="00DA4DD8" w:rsidP="007A5296">
            <w:pPr>
              <w:spacing w:after="120"/>
              <w:rPr>
                <w:rFonts w:ascii="Times New Roman" w:hAnsi="Times New Roman"/>
              </w:rPr>
            </w:pPr>
            <w:r w:rsidRPr="00FD1AA2">
              <w:rPr>
                <w:rFonts w:ascii="Times New Roman" w:hAnsi="Times New Roman"/>
              </w:rPr>
              <w:t>4.374</w:t>
            </w:r>
          </w:p>
        </w:tc>
      </w:tr>
    </w:tbl>
    <w:p w:rsidR="00DA4DD8" w:rsidRPr="00C47458" w:rsidRDefault="00DA4DD8" w:rsidP="00FD1AA2">
      <w:pPr>
        <w:spacing w:after="240" w:line="360" w:lineRule="auto"/>
        <w:jc w:val="both"/>
        <w:rPr>
          <w:rFonts w:ascii="Times New Roman" w:hAnsi="Times New Roman"/>
          <w:i/>
        </w:rPr>
      </w:pPr>
      <w:r w:rsidRPr="00C47458">
        <w:rPr>
          <w:rFonts w:ascii="Times New Roman" w:hAnsi="Times New Roman"/>
          <w:i/>
        </w:rPr>
        <w:t>Source: Annual Reports of MBL</w:t>
      </w:r>
    </w:p>
    <w:p w:rsidR="00686068" w:rsidRDefault="00686068">
      <w:pPr>
        <w:spacing w:after="200" w:line="276" w:lineRule="auto"/>
        <w:rPr>
          <w:rFonts w:ascii="Times New Roman" w:hAnsi="Times New Roman"/>
          <w:b/>
        </w:rPr>
      </w:pPr>
      <w:r>
        <w:rPr>
          <w:rFonts w:ascii="Times New Roman" w:hAnsi="Times New Roman"/>
          <w:b/>
        </w:rPr>
        <w:br w:type="page"/>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lastRenderedPageBreak/>
        <w:t>Figure</w:t>
      </w:r>
      <w:r w:rsidR="00C47458">
        <w:rPr>
          <w:rFonts w:ascii="Times New Roman" w:hAnsi="Times New Roman"/>
          <w:b/>
        </w:rPr>
        <w:t xml:space="preserve"> :</w:t>
      </w:r>
      <w:r w:rsidRPr="00FD1AA2">
        <w:rPr>
          <w:rFonts w:ascii="Times New Roman" w:hAnsi="Times New Roman"/>
          <w:b/>
        </w:rPr>
        <w:t xml:space="preserve"> 4.6</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 xml:space="preserve">Total Expenses to Total Income Ratio </w:t>
      </w:r>
    </w:p>
    <w:p w:rsidR="00DA4DD8" w:rsidRPr="00FD1AA2" w:rsidRDefault="009A308E" w:rsidP="00FD1AA2">
      <w:pPr>
        <w:widowControl w:val="0"/>
        <w:tabs>
          <w:tab w:val="left" w:pos="9000"/>
        </w:tabs>
        <w:spacing w:after="240" w:line="360" w:lineRule="auto"/>
        <w:jc w:val="center"/>
        <w:rPr>
          <w:rFonts w:ascii="Times New Roman" w:hAnsi="Times New Roman"/>
          <w:b/>
        </w:rPr>
      </w:pPr>
      <w:r>
        <w:rPr>
          <w:rFonts w:ascii="Times New Roman" w:hAnsi="Times New Roman"/>
          <w:b/>
          <w:noProof/>
          <w:lang w:bidi="ar-SA"/>
        </w:rPr>
        <w:drawing>
          <wp:inline distT="0" distB="0" distL="0" distR="0">
            <wp:extent cx="5137255" cy="2697985"/>
            <wp:effectExtent l="12192" t="6096" r="9293" b="4829"/>
            <wp:docPr id="43"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A4DD8" w:rsidRPr="00FD1AA2" w:rsidRDefault="00DA4DD8" w:rsidP="00FD1AA2">
      <w:pPr>
        <w:widowControl w:val="0"/>
        <w:tabs>
          <w:tab w:val="left" w:pos="9000"/>
        </w:tabs>
        <w:spacing w:after="240" w:line="360" w:lineRule="auto"/>
        <w:jc w:val="both"/>
        <w:rPr>
          <w:rFonts w:ascii="Times New Roman" w:hAnsi="Times New Roman"/>
        </w:rPr>
      </w:pPr>
      <w:r w:rsidRPr="00FD1AA2">
        <w:rPr>
          <w:rFonts w:ascii="Times New Roman" w:hAnsi="Times New Roman"/>
        </w:rPr>
        <w:t xml:space="preserve">The above table and figure 4.6 shows total expenses to total revenue ratio of MBL  for the study period 74.94%,73.22%,73.92%,75.03% and 82.40% in FY 2062/063 to FY 2066/067 respectively. Total Expenses to Total Revenue Ratio of MBL is range from a minimum of 73.22% in FY 2063/64 to maximum of 82.40% in 2066/067 over the study period the mean average of total expenses to total income ratio is 75.90%, standard deviation is 3.32 and coefficient of variation is 4.367%. The total expenses to total income ratio has increased in FY 2063/064 </w:t>
      </w:r>
      <w:r w:rsidR="000D6EFF">
        <w:rPr>
          <w:rFonts w:ascii="Times New Roman" w:hAnsi="Times New Roman"/>
        </w:rPr>
        <w:t>t</w:t>
      </w:r>
      <w:r w:rsidRPr="00FD1AA2">
        <w:rPr>
          <w:rFonts w:ascii="Times New Roman" w:hAnsi="Times New Roman"/>
        </w:rPr>
        <w:t xml:space="preserve">hereafter, it is observed increasing up to final fiscal year 2066/067. The ratio of the bank is in fluctuating trend because the income of the bank is higher than the expenses of the bank over the study period. </w:t>
      </w:r>
    </w:p>
    <w:p w:rsidR="00DA4DD8" w:rsidRPr="00631146" w:rsidRDefault="00DA4DD8" w:rsidP="00FD1AA2">
      <w:pPr>
        <w:widowControl w:val="0"/>
        <w:tabs>
          <w:tab w:val="left" w:pos="9000"/>
        </w:tabs>
        <w:spacing w:after="240" w:line="360" w:lineRule="auto"/>
        <w:jc w:val="both"/>
        <w:rPr>
          <w:rFonts w:ascii="Times New Roman" w:hAnsi="Times New Roman"/>
          <w:b/>
          <w:sz w:val="28"/>
        </w:rPr>
      </w:pPr>
      <w:r w:rsidRPr="00631146">
        <w:rPr>
          <w:rFonts w:ascii="Times New Roman" w:hAnsi="Times New Roman"/>
          <w:b/>
          <w:sz w:val="28"/>
        </w:rPr>
        <w:t xml:space="preserve">4.3.2 </w:t>
      </w:r>
      <w:r w:rsidR="004C6BB5" w:rsidRPr="00631146">
        <w:rPr>
          <w:rFonts w:ascii="Times New Roman" w:hAnsi="Times New Roman"/>
          <w:b/>
          <w:sz w:val="28"/>
        </w:rPr>
        <w:t xml:space="preserve"> </w:t>
      </w:r>
      <w:r w:rsidRPr="00631146">
        <w:rPr>
          <w:rFonts w:ascii="Times New Roman" w:hAnsi="Times New Roman"/>
          <w:b/>
          <w:sz w:val="28"/>
        </w:rPr>
        <w:t>Earning Per Employee</w:t>
      </w:r>
    </w:p>
    <w:p w:rsidR="00DA4DD8" w:rsidRPr="00FD1AA2" w:rsidRDefault="00DA4DD8" w:rsidP="00FD1AA2">
      <w:pPr>
        <w:widowControl w:val="0"/>
        <w:tabs>
          <w:tab w:val="left" w:pos="9000"/>
        </w:tabs>
        <w:spacing w:after="240" w:line="360" w:lineRule="auto"/>
        <w:jc w:val="both"/>
        <w:rPr>
          <w:rFonts w:ascii="Times New Roman" w:hAnsi="Times New Roman"/>
        </w:rPr>
      </w:pPr>
      <w:r w:rsidRPr="00FD1AA2">
        <w:rPr>
          <w:rFonts w:ascii="Times New Roman" w:hAnsi="Times New Roman"/>
        </w:rPr>
        <w:t>Lower earning per employee can reflect inefficiencies as a result of cover staffing, with similar repercussion in terms of profitability. Earning per employee is calculated by dividing net profit after taxes by number of employees.</w:t>
      </w:r>
    </w:p>
    <w:p w:rsidR="00686068" w:rsidRDefault="00686068">
      <w:pPr>
        <w:spacing w:after="200" w:line="276" w:lineRule="auto"/>
        <w:rPr>
          <w:rFonts w:ascii="Times New Roman" w:hAnsi="Times New Roman"/>
          <w:b/>
        </w:rPr>
      </w:pPr>
      <w:r>
        <w:rPr>
          <w:rFonts w:ascii="Times New Roman" w:hAnsi="Times New Roman"/>
          <w:b/>
        </w:rPr>
        <w:br w:type="page"/>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lastRenderedPageBreak/>
        <w:t>Table</w:t>
      </w:r>
      <w:r w:rsidR="00631146">
        <w:rPr>
          <w:rFonts w:ascii="Times New Roman" w:hAnsi="Times New Roman"/>
          <w:b/>
        </w:rPr>
        <w:t xml:space="preserve"> :</w:t>
      </w:r>
      <w:r w:rsidRPr="00FD1AA2">
        <w:rPr>
          <w:rFonts w:ascii="Times New Roman" w:hAnsi="Times New Roman"/>
          <w:b/>
        </w:rPr>
        <w:t xml:space="preserve"> 4.7</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Earning Per Employee (Rs.)</w:t>
      </w:r>
    </w:p>
    <w:tbl>
      <w:tblPr>
        <w:tblW w:w="606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105"/>
        <w:gridCol w:w="1366"/>
        <w:gridCol w:w="1166"/>
        <w:gridCol w:w="1066"/>
        <w:gridCol w:w="1116"/>
        <w:gridCol w:w="1166"/>
        <w:gridCol w:w="1166"/>
        <w:gridCol w:w="1216"/>
        <w:gridCol w:w="966"/>
      </w:tblGrid>
      <w:tr w:rsidR="00DA4DD8" w:rsidRPr="00FD1AA2" w:rsidTr="00B0423D">
        <w:trPr>
          <w:jc w:val="center"/>
        </w:trPr>
        <w:tc>
          <w:tcPr>
            <w:tcW w:w="535" w:type="pct"/>
          </w:tcPr>
          <w:p w:rsidR="00DA4DD8" w:rsidRPr="00FD1AA2" w:rsidRDefault="00DA4DD8" w:rsidP="00B0423D">
            <w:pPr>
              <w:spacing w:line="360" w:lineRule="auto"/>
              <w:jc w:val="center"/>
              <w:rPr>
                <w:rFonts w:ascii="Times New Roman" w:hAnsi="Times New Roman"/>
                <w:sz w:val="20"/>
              </w:rPr>
            </w:pPr>
            <w:r w:rsidRPr="00FD1AA2">
              <w:rPr>
                <w:rFonts w:ascii="Times New Roman" w:hAnsi="Times New Roman"/>
                <w:sz w:val="20"/>
              </w:rPr>
              <w:t>Fiscal year</w:t>
            </w:r>
          </w:p>
        </w:tc>
        <w:tc>
          <w:tcPr>
            <w:tcW w:w="661" w:type="pct"/>
          </w:tcPr>
          <w:p w:rsidR="00DA4DD8" w:rsidRPr="00FD1AA2" w:rsidRDefault="00DA4DD8" w:rsidP="00B0423D">
            <w:pPr>
              <w:spacing w:line="360" w:lineRule="auto"/>
              <w:jc w:val="center"/>
              <w:rPr>
                <w:rFonts w:ascii="Times New Roman" w:hAnsi="Times New Roman"/>
                <w:sz w:val="20"/>
              </w:rPr>
            </w:pPr>
            <w:r w:rsidRPr="00FD1AA2">
              <w:rPr>
                <w:rFonts w:ascii="Times New Roman" w:hAnsi="Times New Roman"/>
                <w:sz w:val="20"/>
              </w:rPr>
              <w:t>2062/063</w:t>
            </w:r>
          </w:p>
        </w:tc>
        <w:tc>
          <w:tcPr>
            <w:tcW w:w="564" w:type="pct"/>
          </w:tcPr>
          <w:p w:rsidR="00DA4DD8" w:rsidRPr="00FD1AA2" w:rsidRDefault="00DA4DD8" w:rsidP="00B0423D">
            <w:pPr>
              <w:spacing w:line="360" w:lineRule="auto"/>
              <w:jc w:val="center"/>
              <w:rPr>
                <w:rFonts w:ascii="Times New Roman" w:hAnsi="Times New Roman"/>
                <w:sz w:val="20"/>
              </w:rPr>
            </w:pPr>
            <w:r w:rsidRPr="00FD1AA2">
              <w:rPr>
                <w:rFonts w:ascii="Times New Roman" w:hAnsi="Times New Roman"/>
                <w:sz w:val="20"/>
              </w:rPr>
              <w:t>2063/064</w:t>
            </w:r>
          </w:p>
        </w:tc>
        <w:tc>
          <w:tcPr>
            <w:tcW w:w="516" w:type="pct"/>
          </w:tcPr>
          <w:p w:rsidR="00DA4DD8" w:rsidRPr="00FD1AA2" w:rsidRDefault="00DA4DD8" w:rsidP="00B0423D">
            <w:pPr>
              <w:spacing w:line="360" w:lineRule="auto"/>
              <w:jc w:val="center"/>
              <w:rPr>
                <w:rFonts w:ascii="Times New Roman" w:hAnsi="Times New Roman"/>
                <w:sz w:val="20"/>
              </w:rPr>
            </w:pPr>
            <w:r w:rsidRPr="00FD1AA2">
              <w:rPr>
                <w:rFonts w:ascii="Times New Roman" w:hAnsi="Times New Roman"/>
                <w:sz w:val="20"/>
              </w:rPr>
              <w:t>2064/065</w:t>
            </w:r>
          </w:p>
        </w:tc>
        <w:tc>
          <w:tcPr>
            <w:tcW w:w="540" w:type="pct"/>
          </w:tcPr>
          <w:p w:rsidR="00DA4DD8" w:rsidRPr="00FD1AA2" w:rsidRDefault="00DA4DD8" w:rsidP="00B0423D">
            <w:pPr>
              <w:spacing w:line="360" w:lineRule="auto"/>
              <w:jc w:val="center"/>
              <w:rPr>
                <w:rFonts w:ascii="Times New Roman" w:hAnsi="Times New Roman"/>
                <w:sz w:val="20"/>
              </w:rPr>
            </w:pPr>
            <w:r w:rsidRPr="00FD1AA2">
              <w:rPr>
                <w:rFonts w:ascii="Times New Roman" w:hAnsi="Times New Roman"/>
                <w:sz w:val="20"/>
              </w:rPr>
              <w:t>2065/066</w:t>
            </w:r>
          </w:p>
        </w:tc>
        <w:tc>
          <w:tcPr>
            <w:tcW w:w="564" w:type="pct"/>
          </w:tcPr>
          <w:p w:rsidR="00DA4DD8" w:rsidRPr="00FD1AA2" w:rsidRDefault="00DA4DD8" w:rsidP="00B0423D">
            <w:pPr>
              <w:spacing w:line="360" w:lineRule="auto"/>
              <w:jc w:val="center"/>
              <w:rPr>
                <w:rFonts w:ascii="Times New Roman" w:hAnsi="Times New Roman"/>
                <w:sz w:val="20"/>
              </w:rPr>
            </w:pPr>
            <w:r w:rsidRPr="00FD1AA2">
              <w:rPr>
                <w:rFonts w:ascii="Times New Roman" w:hAnsi="Times New Roman"/>
                <w:sz w:val="20"/>
              </w:rPr>
              <w:t>2066/067</w:t>
            </w:r>
          </w:p>
        </w:tc>
        <w:tc>
          <w:tcPr>
            <w:tcW w:w="507" w:type="pct"/>
          </w:tcPr>
          <w:p w:rsidR="00DA4DD8" w:rsidRPr="00FD1AA2" w:rsidRDefault="00DA4DD8" w:rsidP="00B0423D">
            <w:pPr>
              <w:pStyle w:val="ListParagraph"/>
              <w:widowControl w:val="0"/>
              <w:tabs>
                <w:tab w:val="left" w:pos="9000"/>
              </w:tabs>
              <w:spacing w:line="360" w:lineRule="auto"/>
              <w:ind w:left="0"/>
              <w:jc w:val="center"/>
              <w:rPr>
                <w:rFonts w:ascii="Times New Roman" w:hAnsi="Times New Roman"/>
                <w:sz w:val="20"/>
              </w:rPr>
            </w:pPr>
            <w:r w:rsidRPr="00FD1AA2">
              <w:rPr>
                <w:rFonts w:ascii="Times New Roman" w:hAnsi="Times New Roman"/>
                <w:sz w:val="20"/>
              </w:rPr>
              <w:t>Mean</w:t>
            </w:r>
          </w:p>
        </w:tc>
        <w:tc>
          <w:tcPr>
            <w:tcW w:w="646" w:type="pct"/>
          </w:tcPr>
          <w:p w:rsidR="00DA4DD8" w:rsidRPr="00FD1AA2" w:rsidRDefault="00DA4DD8" w:rsidP="00B0423D">
            <w:pPr>
              <w:pStyle w:val="ListParagraph"/>
              <w:widowControl w:val="0"/>
              <w:tabs>
                <w:tab w:val="left" w:pos="9000"/>
              </w:tabs>
              <w:spacing w:line="360" w:lineRule="auto"/>
              <w:ind w:left="0"/>
              <w:jc w:val="center"/>
              <w:rPr>
                <w:rFonts w:ascii="Times New Roman" w:hAnsi="Times New Roman"/>
                <w:sz w:val="20"/>
              </w:rPr>
            </w:pPr>
            <w:r w:rsidRPr="00FD1AA2">
              <w:rPr>
                <w:rFonts w:ascii="Times New Roman" w:hAnsi="Times New Roman"/>
                <w:sz w:val="20"/>
              </w:rPr>
              <w:t>S.D</w:t>
            </w:r>
          </w:p>
        </w:tc>
        <w:tc>
          <w:tcPr>
            <w:tcW w:w="467" w:type="pct"/>
          </w:tcPr>
          <w:p w:rsidR="00DA4DD8" w:rsidRPr="00FD1AA2" w:rsidRDefault="00DA4DD8" w:rsidP="00B0423D">
            <w:pPr>
              <w:pStyle w:val="ListParagraph"/>
              <w:widowControl w:val="0"/>
              <w:tabs>
                <w:tab w:val="left" w:pos="9000"/>
              </w:tabs>
              <w:spacing w:line="360" w:lineRule="auto"/>
              <w:ind w:left="0"/>
              <w:jc w:val="center"/>
              <w:rPr>
                <w:rFonts w:ascii="Times New Roman" w:hAnsi="Times New Roman"/>
                <w:sz w:val="20"/>
              </w:rPr>
            </w:pPr>
            <w:r w:rsidRPr="00FD1AA2">
              <w:rPr>
                <w:rFonts w:ascii="Times New Roman" w:hAnsi="Times New Roman"/>
                <w:sz w:val="20"/>
              </w:rPr>
              <w:t>CV</w:t>
            </w:r>
          </w:p>
        </w:tc>
      </w:tr>
      <w:tr w:rsidR="00DA4DD8" w:rsidRPr="00FD1AA2" w:rsidTr="00B0423D">
        <w:trPr>
          <w:jc w:val="center"/>
        </w:trPr>
        <w:tc>
          <w:tcPr>
            <w:tcW w:w="535" w:type="pct"/>
          </w:tcPr>
          <w:p w:rsidR="00DA4DD8" w:rsidRPr="00FD1AA2" w:rsidRDefault="00DA4DD8" w:rsidP="005A7D8F">
            <w:pPr>
              <w:spacing w:line="360" w:lineRule="auto"/>
              <w:rPr>
                <w:rFonts w:ascii="Times New Roman" w:hAnsi="Times New Roman"/>
                <w:sz w:val="20"/>
              </w:rPr>
            </w:pPr>
            <w:r w:rsidRPr="00FD1AA2">
              <w:rPr>
                <w:rFonts w:ascii="Times New Roman" w:hAnsi="Times New Roman"/>
                <w:sz w:val="20"/>
              </w:rPr>
              <w:t>Net profit after Tax (Rs)</w:t>
            </w:r>
          </w:p>
        </w:tc>
        <w:tc>
          <w:tcPr>
            <w:tcW w:w="661"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133996709.53</w:t>
            </w:r>
          </w:p>
        </w:tc>
        <w:tc>
          <w:tcPr>
            <w:tcW w:w="564"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76799259</w:t>
            </w:r>
          </w:p>
        </w:tc>
        <w:tc>
          <w:tcPr>
            <w:tcW w:w="516"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85016002</w:t>
            </w:r>
          </w:p>
        </w:tc>
        <w:tc>
          <w:tcPr>
            <w:tcW w:w="540"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123251098</w:t>
            </w:r>
          </w:p>
        </w:tc>
        <w:tc>
          <w:tcPr>
            <w:tcW w:w="564"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73312799</w:t>
            </w:r>
          </w:p>
        </w:tc>
        <w:tc>
          <w:tcPr>
            <w:tcW w:w="507"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w:t>
            </w:r>
          </w:p>
        </w:tc>
        <w:tc>
          <w:tcPr>
            <w:tcW w:w="646"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w:t>
            </w:r>
          </w:p>
        </w:tc>
        <w:tc>
          <w:tcPr>
            <w:tcW w:w="467"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w:t>
            </w:r>
          </w:p>
        </w:tc>
      </w:tr>
      <w:tr w:rsidR="00DA4DD8" w:rsidRPr="00FD1AA2" w:rsidTr="00B0423D">
        <w:trPr>
          <w:jc w:val="center"/>
        </w:trPr>
        <w:tc>
          <w:tcPr>
            <w:tcW w:w="535" w:type="pct"/>
          </w:tcPr>
          <w:p w:rsidR="00DA4DD8" w:rsidRPr="00FD1AA2" w:rsidRDefault="00DA4DD8" w:rsidP="005A7D8F">
            <w:pPr>
              <w:spacing w:line="360" w:lineRule="auto"/>
              <w:rPr>
                <w:rFonts w:ascii="Times New Roman" w:hAnsi="Times New Roman"/>
                <w:sz w:val="20"/>
              </w:rPr>
            </w:pPr>
            <w:r w:rsidRPr="00FD1AA2">
              <w:rPr>
                <w:rFonts w:ascii="Times New Roman" w:hAnsi="Times New Roman"/>
                <w:sz w:val="20"/>
              </w:rPr>
              <w:t>No. of Employees</w:t>
            </w:r>
          </w:p>
        </w:tc>
        <w:tc>
          <w:tcPr>
            <w:tcW w:w="661"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196</w:t>
            </w:r>
          </w:p>
        </w:tc>
        <w:tc>
          <w:tcPr>
            <w:tcW w:w="564"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234</w:t>
            </w:r>
          </w:p>
        </w:tc>
        <w:tc>
          <w:tcPr>
            <w:tcW w:w="516"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313</w:t>
            </w:r>
          </w:p>
        </w:tc>
        <w:tc>
          <w:tcPr>
            <w:tcW w:w="540"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439</w:t>
            </w:r>
          </w:p>
        </w:tc>
        <w:tc>
          <w:tcPr>
            <w:tcW w:w="564"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492</w:t>
            </w:r>
          </w:p>
        </w:tc>
        <w:tc>
          <w:tcPr>
            <w:tcW w:w="507"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w:t>
            </w:r>
          </w:p>
        </w:tc>
        <w:tc>
          <w:tcPr>
            <w:tcW w:w="646"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w:t>
            </w:r>
          </w:p>
        </w:tc>
        <w:tc>
          <w:tcPr>
            <w:tcW w:w="467"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w:t>
            </w:r>
          </w:p>
        </w:tc>
      </w:tr>
      <w:tr w:rsidR="00DA4DD8" w:rsidRPr="00FD1AA2" w:rsidTr="00B0423D">
        <w:trPr>
          <w:jc w:val="center"/>
        </w:trPr>
        <w:tc>
          <w:tcPr>
            <w:tcW w:w="535" w:type="pct"/>
          </w:tcPr>
          <w:p w:rsidR="00DA4DD8" w:rsidRPr="00FD1AA2" w:rsidRDefault="00DA4DD8" w:rsidP="005A7D8F">
            <w:pPr>
              <w:spacing w:line="360" w:lineRule="auto"/>
              <w:rPr>
                <w:rFonts w:ascii="Times New Roman" w:hAnsi="Times New Roman"/>
                <w:sz w:val="20"/>
              </w:rPr>
            </w:pPr>
            <w:r w:rsidRPr="00FD1AA2">
              <w:rPr>
                <w:rFonts w:ascii="Times New Roman" w:hAnsi="Times New Roman"/>
                <w:sz w:val="20"/>
              </w:rPr>
              <w:t>Earning per Employee (Rs)</w:t>
            </w:r>
          </w:p>
        </w:tc>
        <w:tc>
          <w:tcPr>
            <w:tcW w:w="661"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683656.681</w:t>
            </w:r>
          </w:p>
        </w:tc>
        <w:tc>
          <w:tcPr>
            <w:tcW w:w="564"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328201.962</w:t>
            </w:r>
          </w:p>
        </w:tc>
        <w:tc>
          <w:tcPr>
            <w:tcW w:w="516"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271616.62</w:t>
            </w:r>
          </w:p>
        </w:tc>
        <w:tc>
          <w:tcPr>
            <w:tcW w:w="540"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280754.21</w:t>
            </w:r>
          </w:p>
        </w:tc>
        <w:tc>
          <w:tcPr>
            <w:tcW w:w="564"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149009.754</w:t>
            </w:r>
          </w:p>
        </w:tc>
        <w:tc>
          <w:tcPr>
            <w:tcW w:w="507"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98475173.5</w:t>
            </w:r>
          </w:p>
        </w:tc>
        <w:tc>
          <w:tcPr>
            <w:tcW w:w="646"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3947219624</w:t>
            </w:r>
          </w:p>
        </w:tc>
        <w:tc>
          <w:tcPr>
            <w:tcW w:w="467" w:type="pct"/>
          </w:tcPr>
          <w:p w:rsidR="00DA4DD8" w:rsidRPr="00FD1AA2" w:rsidRDefault="00DA4DD8" w:rsidP="00B0423D">
            <w:pPr>
              <w:spacing w:line="360" w:lineRule="auto"/>
              <w:jc w:val="both"/>
              <w:rPr>
                <w:rFonts w:ascii="Times New Roman" w:hAnsi="Times New Roman"/>
                <w:sz w:val="20"/>
              </w:rPr>
            </w:pPr>
            <w:r w:rsidRPr="00FD1AA2">
              <w:rPr>
                <w:rFonts w:ascii="Times New Roman" w:hAnsi="Times New Roman"/>
                <w:sz w:val="20"/>
              </w:rPr>
              <w:t>0.000285</w:t>
            </w:r>
          </w:p>
        </w:tc>
      </w:tr>
    </w:tbl>
    <w:p w:rsidR="00DA4DD8" w:rsidRPr="005A7D8F" w:rsidRDefault="00DA4DD8" w:rsidP="00FD1AA2">
      <w:pPr>
        <w:spacing w:after="240" w:line="360" w:lineRule="auto"/>
        <w:rPr>
          <w:rFonts w:ascii="Times New Roman" w:hAnsi="Times New Roman"/>
          <w:i/>
        </w:rPr>
      </w:pPr>
      <w:r w:rsidRPr="005A7D8F">
        <w:rPr>
          <w:rFonts w:ascii="Times New Roman" w:hAnsi="Times New Roman"/>
          <w:i/>
        </w:rPr>
        <w:t>Source: Annual Reports of MBL</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Figure</w:t>
      </w:r>
      <w:r w:rsidR="00301E15">
        <w:rPr>
          <w:rFonts w:ascii="Times New Roman" w:hAnsi="Times New Roman"/>
          <w:b/>
        </w:rPr>
        <w:t xml:space="preserve"> :</w:t>
      </w:r>
      <w:r w:rsidRPr="00FD1AA2">
        <w:rPr>
          <w:rFonts w:ascii="Times New Roman" w:hAnsi="Times New Roman"/>
          <w:b/>
        </w:rPr>
        <w:t xml:space="preserve"> 4.7</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 xml:space="preserve">Earning Per Employee </w:t>
      </w:r>
    </w:p>
    <w:p w:rsidR="00DA4DD8" w:rsidRPr="00FD1AA2" w:rsidRDefault="009A308E" w:rsidP="00FD1AA2">
      <w:pPr>
        <w:widowControl w:val="0"/>
        <w:tabs>
          <w:tab w:val="left" w:pos="9000"/>
        </w:tabs>
        <w:spacing w:after="240" w:line="360" w:lineRule="auto"/>
        <w:jc w:val="center"/>
        <w:rPr>
          <w:rFonts w:ascii="Times New Roman" w:hAnsi="Times New Roman"/>
          <w:b/>
        </w:rPr>
      </w:pPr>
      <w:r>
        <w:rPr>
          <w:rFonts w:ascii="Times New Roman" w:hAnsi="Times New Roman"/>
          <w:b/>
          <w:noProof/>
          <w:lang w:bidi="ar-SA"/>
        </w:rPr>
        <w:drawing>
          <wp:inline distT="0" distB="0" distL="0" distR="0">
            <wp:extent cx="5274945" cy="3143056"/>
            <wp:effectExtent l="12192" t="6096" r="15113" b="3623"/>
            <wp:docPr id="42" name="Char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A4DD8" w:rsidRPr="00FD1AA2" w:rsidRDefault="00DA4DD8" w:rsidP="00FD1AA2">
      <w:pPr>
        <w:widowControl w:val="0"/>
        <w:tabs>
          <w:tab w:val="left" w:pos="9000"/>
        </w:tabs>
        <w:spacing w:after="240" w:line="360" w:lineRule="auto"/>
        <w:jc w:val="both"/>
        <w:rPr>
          <w:rFonts w:ascii="Times New Roman" w:hAnsi="Times New Roman"/>
        </w:rPr>
      </w:pPr>
      <w:r w:rsidRPr="00FD1AA2">
        <w:rPr>
          <w:rFonts w:ascii="Times New Roman" w:hAnsi="Times New Roman"/>
        </w:rPr>
        <w:t xml:space="preserve">The above table and figure 4.7 shows Earning per employee of MBL for the </w:t>
      </w:r>
      <w:r w:rsidRPr="00FD1AA2">
        <w:rPr>
          <w:rFonts w:ascii="Times New Roman" w:hAnsi="Times New Roman"/>
          <w:b/>
        </w:rPr>
        <w:t>stud</w:t>
      </w:r>
      <w:r w:rsidRPr="00FD1AA2">
        <w:rPr>
          <w:rFonts w:ascii="Times New Roman" w:hAnsi="Times New Roman"/>
        </w:rPr>
        <w:t xml:space="preserve">y period Rs 683656.681, Rs 328201.962, Rs 271616.62, Rs 280754.21 and Rs 149009.754 in FY 2062/063 to FY 2066/067 respectively. The earning per employee of MBL was maximum with Rs 683656.681 in FY 2062/063 and minimum with </w:t>
      </w:r>
      <w:r w:rsidRPr="00FD1AA2">
        <w:rPr>
          <w:rFonts w:ascii="Times New Roman" w:hAnsi="Times New Roman"/>
        </w:rPr>
        <w:lastRenderedPageBreak/>
        <w:t>Rs149009.754 in FY 2066/067 over the study period. In FY 2062/063, MBL earned more profit that way the earning per employee also more. In FY 2063/064,2064/065 earning per employee decreased due to decrease in net profit and increased number of employees. Thereafter in FY 2065/066 earning per employee has increased again decreased in final fiscal year.  The observed value of ratio are fluctuating over the study period. The mean average of earning per employee for the study period is Rs. 98475173.5, standard deviation is 28097.045 and coefficient of variation is 0.00285.</w:t>
      </w:r>
    </w:p>
    <w:p w:rsidR="00DA4DD8" w:rsidRPr="004C617B" w:rsidRDefault="00DA4DD8" w:rsidP="0014232A">
      <w:pPr>
        <w:widowControl w:val="0"/>
        <w:spacing w:after="240" w:line="360" w:lineRule="auto"/>
        <w:jc w:val="both"/>
        <w:rPr>
          <w:rFonts w:ascii="Times New Roman" w:hAnsi="Times New Roman"/>
          <w:b/>
          <w:sz w:val="28"/>
          <w:szCs w:val="26"/>
        </w:rPr>
      </w:pPr>
      <w:r w:rsidRPr="004C617B">
        <w:rPr>
          <w:rFonts w:ascii="Times New Roman" w:hAnsi="Times New Roman"/>
          <w:b/>
          <w:sz w:val="28"/>
          <w:szCs w:val="26"/>
        </w:rPr>
        <w:t xml:space="preserve">4.4 </w:t>
      </w:r>
      <w:r w:rsidR="0014232A" w:rsidRPr="004C617B">
        <w:rPr>
          <w:rFonts w:ascii="Times New Roman" w:hAnsi="Times New Roman"/>
          <w:b/>
          <w:sz w:val="28"/>
          <w:szCs w:val="26"/>
        </w:rPr>
        <w:tab/>
      </w:r>
      <w:r w:rsidRPr="004C617B">
        <w:rPr>
          <w:rFonts w:ascii="Times New Roman" w:hAnsi="Times New Roman"/>
          <w:b/>
          <w:sz w:val="28"/>
          <w:szCs w:val="26"/>
        </w:rPr>
        <w:t>Earning Performance</w:t>
      </w:r>
    </w:p>
    <w:p w:rsidR="00DA4DD8" w:rsidRPr="00FD1AA2" w:rsidRDefault="00DA4DD8" w:rsidP="00FD1AA2">
      <w:pPr>
        <w:widowControl w:val="0"/>
        <w:tabs>
          <w:tab w:val="left" w:pos="9000"/>
        </w:tabs>
        <w:spacing w:after="240" w:line="360" w:lineRule="auto"/>
        <w:jc w:val="both"/>
        <w:rPr>
          <w:rFonts w:ascii="Times New Roman" w:hAnsi="Times New Roman"/>
        </w:rPr>
      </w:pPr>
      <w:r w:rsidRPr="00FD1AA2">
        <w:rPr>
          <w:rFonts w:ascii="Times New Roman" w:hAnsi="Times New Roman"/>
        </w:rPr>
        <w:t>The main objective of banks is to earn profit and their level of profitability is measured by profitability ratios. Earning performance allows the banks to remain competitive by providing the resources. Profitability ratios measures the efficiencies of the banks, higher profit ratio indicates higher efficiency and vice-versa.</w:t>
      </w:r>
      <w:r w:rsidR="00B0423D">
        <w:rPr>
          <w:rFonts w:ascii="Times New Roman" w:hAnsi="Times New Roman"/>
        </w:rPr>
        <w:t xml:space="preserve"> Earning quality is one of the indicators of the sound health of any bank. Sound health of a company requires earning profit. The survival of a bank is determined by the generation of profit. The ratio which measure the profitability of business operation are mainly return on equity (ROE), return on assets (ROA) &amp; earning for share are used to evaluate the profitability of MBL. </w:t>
      </w:r>
    </w:p>
    <w:p w:rsidR="00DA4DD8" w:rsidRPr="00114D66" w:rsidRDefault="00DA4DD8" w:rsidP="00FD1AA2">
      <w:pPr>
        <w:widowControl w:val="0"/>
        <w:tabs>
          <w:tab w:val="left" w:pos="9000"/>
        </w:tabs>
        <w:spacing w:after="240" w:line="360" w:lineRule="auto"/>
        <w:jc w:val="both"/>
        <w:rPr>
          <w:rFonts w:ascii="Times New Roman" w:hAnsi="Times New Roman"/>
          <w:b/>
          <w:sz w:val="28"/>
        </w:rPr>
      </w:pPr>
      <w:r w:rsidRPr="00114D66">
        <w:rPr>
          <w:rFonts w:ascii="Times New Roman" w:hAnsi="Times New Roman"/>
          <w:b/>
          <w:sz w:val="28"/>
        </w:rPr>
        <w:t>4.4.1 Return on Assets (ROA)</w:t>
      </w:r>
    </w:p>
    <w:p w:rsidR="00DA4DD8" w:rsidRPr="00FD1AA2" w:rsidRDefault="00DA4DD8" w:rsidP="00FD1AA2">
      <w:pPr>
        <w:spacing w:after="240" w:line="360" w:lineRule="auto"/>
        <w:rPr>
          <w:rFonts w:ascii="Times New Roman" w:hAnsi="Times New Roman"/>
        </w:rPr>
      </w:pPr>
      <w:r w:rsidRPr="00FD1AA2">
        <w:rPr>
          <w:rFonts w:ascii="Times New Roman" w:hAnsi="Times New Roman"/>
        </w:rPr>
        <w:t>Return on assets explains the contribution of assets to generating net profit. Return on total assets is calculated by dividing net profit after tax by total assets of the company. Higher return on total assets indicates the higher efficiency in the utilization of total assets and vice – versa.</w:t>
      </w:r>
    </w:p>
    <w:p w:rsidR="000B0521" w:rsidRDefault="000B0521">
      <w:pPr>
        <w:spacing w:after="200" w:line="276" w:lineRule="auto"/>
        <w:rPr>
          <w:rFonts w:ascii="Times New Roman" w:hAnsi="Times New Roman"/>
          <w:b/>
        </w:rPr>
      </w:pPr>
      <w:r>
        <w:rPr>
          <w:rFonts w:ascii="Times New Roman" w:hAnsi="Times New Roman"/>
          <w:b/>
        </w:rPr>
        <w:br w:type="page"/>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lastRenderedPageBreak/>
        <w:t xml:space="preserve">Table </w:t>
      </w:r>
      <w:r w:rsidR="00E14981">
        <w:rPr>
          <w:rFonts w:ascii="Times New Roman" w:hAnsi="Times New Roman"/>
          <w:b/>
        </w:rPr>
        <w:t xml:space="preserve">: </w:t>
      </w:r>
      <w:r w:rsidRPr="00FD1AA2">
        <w:rPr>
          <w:rFonts w:ascii="Times New Roman" w:hAnsi="Times New Roman"/>
          <w:b/>
        </w:rPr>
        <w:t>4.8</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Return on Assets</w:t>
      </w:r>
    </w:p>
    <w:tbl>
      <w:tblPr>
        <w:tblW w:w="533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110"/>
        <w:gridCol w:w="1048"/>
        <w:gridCol w:w="1117"/>
        <w:gridCol w:w="1230"/>
        <w:gridCol w:w="1230"/>
        <w:gridCol w:w="1230"/>
        <w:gridCol w:w="757"/>
        <w:gridCol w:w="629"/>
        <w:gridCol w:w="749"/>
      </w:tblGrid>
      <w:tr w:rsidR="00DA4DD8" w:rsidRPr="006D584B" w:rsidTr="006D584B">
        <w:trPr>
          <w:jc w:val="center"/>
        </w:trPr>
        <w:tc>
          <w:tcPr>
            <w:tcW w:w="613" w:type="pct"/>
          </w:tcPr>
          <w:p w:rsidR="00DA4DD8" w:rsidRPr="006D584B" w:rsidRDefault="00DA4DD8" w:rsidP="006D584B">
            <w:pPr>
              <w:jc w:val="both"/>
              <w:rPr>
                <w:rFonts w:ascii="Times New Roman" w:hAnsi="Times New Roman"/>
              </w:rPr>
            </w:pPr>
            <w:r w:rsidRPr="006D584B">
              <w:rPr>
                <w:rFonts w:ascii="Times New Roman" w:hAnsi="Times New Roman"/>
                <w:sz w:val="22"/>
                <w:szCs w:val="22"/>
              </w:rPr>
              <w:t>Fiscal year</w:t>
            </w:r>
          </w:p>
        </w:tc>
        <w:tc>
          <w:tcPr>
            <w:tcW w:w="548" w:type="pct"/>
          </w:tcPr>
          <w:p w:rsidR="00DA4DD8" w:rsidRPr="006D584B" w:rsidRDefault="00DA4DD8" w:rsidP="006D584B">
            <w:pPr>
              <w:jc w:val="both"/>
              <w:rPr>
                <w:rFonts w:ascii="Times New Roman" w:hAnsi="Times New Roman"/>
              </w:rPr>
            </w:pPr>
            <w:r w:rsidRPr="006D584B">
              <w:rPr>
                <w:rFonts w:ascii="Times New Roman" w:hAnsi="Times New Roman"/>
                <w:sz w:val="22"/>
                <w:szCs w:val="22"/>
              </w:rPr>
              <w:t>2062/063</w:t>
            </w:r>
          </w:p>
        </w:tc>
        <w:tc>
          <w:tcPr>
            <w:tcW w:w="617" w:type="pct"/>
          </w:tcPr>
          <w:p w:rsidR="00DA4DD8" w:rsidRPr="006D584B" w:rsidRDefault="00DA4DD8" w:rsidP="006D584B">
            <w:pPr>
              <w:jc w:val="both"/>
              <w:rPr>
                <w:rFonts w:ascii="Times New Roman" w:hAnsi="Times New Roman"/>
              </w:rPr>
            </w:pPr>
            <w:r w:rsidRPr="006D584B">
              <w:rPr>
                <w:rFonts w:ascii="Times New Roman" w:hAnsi="Times New Roman"/>
                <w:sz w:val="22"/>
                <w:szCs w:val="22"/>
              </w:rPr>
              <w:t>2063/064</w:t>
            </w:r>
          </w:p>
        </w:tc>
        <w:tc>
          <w:tcPr>
            <w:tcW w:w="679" w:type="pct"/>
          </w:tcPr>
          <w:p w:rsidR="00DA4DD8" w:rsidRPr="006D584B" w:rsidRDefault="00DA4DD8" w:rsidP="006D584B">
            <w:pPr>
              <w:jc w:val="both"/>
              <w:rPr>
                <w:rFonts w:ascii="Times New Roman" w:hAnsi="Times New Roman"/>
              </w:rPr>
            </w:pPr>
            <w:r w:rsidRPr="006D584B">
              <w:rPr>
                <w:rFonts w:ascii="Times New Roman" w:hAnsi="Times New Roman"/>
                <w:sz w:val="22"/>
                <w:szCs w:val="22"/>
              </w:rPr>
              <w:t>2064/065</w:t>
            </w:r>
          </w:p>
        </w:tc>
        <w:tc>
          <w:tcPr>
            <w:tcW w:w="679" w:type="pct"/>
          </w:tcPr>
          <w:p w:rsidR="00DA4DD8" w:rsidRPr="006D584B" w:rsidRDefault="00DA4DD8" w:rsidP="006D584B">
            <w:pPr>
              <w:jc w:val="both"/>
              <w:rPr>
                <w:rFonts w:ascii="Times New Roman" w:hAnsi="Times New Roman"/>
              </w:rPr>
            </w:pPr>
            <w:r w:rsidRPr="006D584B">
              <w:rPr>
                <w:rFonts w:ascii="Times New Roman" w:hAnsi="Times New Roman"/>
                <w:sz w:val="22"/>
                <w:szCs w:val="22"/>
              </w:rPr>
              <w:t>2065/066</w:t>
            </w:r>
          </w:p>
        </w:tc>
        <w:tc>
          <w:tcPr>
            <w:tcW w:w="679" w:type="pct"/>
          </w:tcPr>
          <w:p w:rsidR="00DA4DD8" w:rsidRPr="006D584B" w:rsidRDefault="00DA4DD8" w:rsidP="006D584B">
            <w:pPr>
              <w:jc w:val="both"/>
              <w:rPr>
                <w:rFonts w:ascii="Times New Roman" w:hAnsi="Times New Roman"/>
              </w:rPr>
            </w:pPr>
            <w:r w:rsidRPr="006D584B">
              <w:rPr>
                <w:rFonts w:ascii="Times New Roman" w:hAnsi="Times New Roman"/>
                <w:sz w:val="22"/>
                <w:szCs w:val="22"/>
              </w:rPr>
              <w:t>2066/067</w:t>
            </w:r>
          </w:p>
        </w:tc>
        <w:tc>
          <w:tcPr>
            <w:tcW w:w="419" w:type="pct"/>
          </w:tcPr>
          <w:p w:rsidR="00DA4DD8" w:rsidRPr="006D584B" w:rsidRDefault="00DA4DD8" w:rsidP="006D584B">
            <w:pPr>
              <w:pStyle w:val="ListParagraph"/>
              <w:widowControl w:val="0"/>
              <w:tabs>
                <w:tab w:val="left" w:pos="9000"/>
              </w:tabs>
              <w:ind w:left="0"/>
              <w:jc w:val="right"/>
              <w:rPr>
                <w:rFonts w:ascii="Times New Roman" w:hAnsi="Times New Roman"/>
              </w:rPr>
            </w:pPr>
            <w:r w:rsidRPr="006D584B">
              <w:rPr>
                <w:rFonts w:ascii="Times New Roman" w:hAnsi="Times New Roman"/>
                <w:sz w:val="22"/>
                <w:szCs w:val="22"/>
              </w:rPr>
              <w:t xml:space="preserve">Mean </w:t>
            </w:r>
          </w:p>
        </w:tc>
        <w:tc>
          <w:tcPr>
            <w:tcW w:w="349" w:type="pct"/>
          </w:tcPr>
          <w:p w:rsidR="00DA4DD8" w:rsidRPr="006D584B" w:rsidRDefault="00DA4DD8" w:rsidP="006D584B">
            <w:pPr>
              <w:pStyle w:val="ListParagraph"/>
              <w:widowControl w:val="0"/>
              <w:tabs>
                <w:tab w:val="left" w:pos="9000"/>
              </w:tabs>
              <w:ind w:left="0"/>
              <w:jc w:val="right"/>
              <w:rPr>
                <w:rFonts w:ascii="Times New Roman" w:hAnsi="Times New Roman"/>
              </w:rPr>
            </w:pPr>
            <w:r w:rsidRPr="006D584B">
              <w:rPr>
                <w:rFonts w:ascii="Times New Roman" w:hAnsi="Times New Roman"/>
                <w:sz w:val="22"/>
                <w:szCs w:val="22"/>
              </w:rPr>
              <w:t xml:space="preserve">S.D </w:t>
            </w:r>
          </w:p>
        </w:tc>
        <w:tc>
          <w:tcPr>
            <w:tcW w:w="415" w:type="pct"/>
          </w:tcPr>
          <w:p w:rsidR="00DA4DD8" w:rsidRPr="006D584B" w:rsidRDefault="00DA4DD8" w:rsidP="006D584B">
            <w:pPr>
              <w:pStyle w:val="ListParagraph"/>
              <w:widowControl w:val="0"/>
              <w:tabs>
                <w:tab w:val="left" w:pos="9000"/>
              </w:tabs>
              <w:ind w:left="0"/>
              <w:jc w:val="right"/>
              <w:rPr>
                <w:rFonts w:ascii="Times New Roman" w:hAnsi="Times New Roman"/>
              </w:rPr>
            </w:pPr>
            <w:r w:rsidRPr="006D584B">
              <w:rPr>
                <w:rFonts w:ascii="Times New Roman" w:hAnsi="Times New Roman"/>
                <w:sz w:val="22"/>
                <w:szCs w:val="22"/>
              </w:rPr>
              <w:t>CV</w:t>
            </w:r>
          </w:p>
        </w:tc>
      </w:tr>
      <w:tr w:rsidR="00DA4DD8" w:rsidRPr="006D584B" w:rsidTr="006D584B">
        <w:trPr>
          <w:jc w:val="center"/>
        </w:trPr>
        <w:tc>
          <w:tcPr>
            <w:tcW w:w="613" w:type="pct"/>
          </w:tcPr>
          <w:p w:rsidR="00DA4DD8" w:rsidRPr="006D584B" w:rsidRDefault="00DA4DD8" w:rsidP="006D584B">
            <w:pPr>
              <w:jc w:val="both"/>
              <w:rPr>
                <w:rFonts w:ascii="Times New Roman" w:hAnsi="Times New Roman"/>
              </w:rPr>
            </w:pPr>
            <w:r w:rsidRPr="006D584B">
              <w:rPr>
                <w:rFonts w:ascii="Times New Roman" w:hAnsi="Times New Roman"/>
                <w:sz w:val="22"/>
                <w:szCs w:val="22"/>
              </w:rPr>
              <w:t>Net-profit after tax (in million)</w:t>
            </w:r>
          </w:p>
        </w:tc>
        <w:tc>
          <w:tcPr>
            <w:tcW w:w="548"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133.997</w:t>
            </w:r>
          </w:p>
        </w:tc>
        <w:tc>
          <w:tcPr>
            <w:tcW w:w="617"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76.799</w:t>
            </w:r>
          </w:p>
        </w:tc>
        <w:tc>
          <w:tcPr>
            <w:tcW w:w="679"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85.016</w:t>
            </w:r>
          </w:p>
        </w:tc>
        <w:tc>
          <w:tcPr>
            <w:tcW w:w="679"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123.251</w:t>
            </w:r>
          </w:p>
        </w:tc>
        <w:tc>
          <w:tcPr>
            <w:tcW w:w="679"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73.313</w:t>
            </w:r>
          </w:p>
        </w:tc>
        <w:tc>
          <w:tcPr>
            <w:tcW w:w="419"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w:t>
            </w:r>
          </w:p>
        </w:tc>
        <w:tc>
          <w:tcPr>
            <w:tcW w:w="349"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w:t>
            </w:r>
          </w:p>
        </w:tc>
        <w:tc>
          <w:tcPr>
            <w:tcW w:w="415"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w:t>
            </w:r>
          </w:p>
        </w:tc>
      </w:tr>
      <w:tr w:rsidR="00DA4DD8" w:rsidRPr="006D584B" w:rsidTr="006D584B">
        <w:trPr>
          <w:jc w:val="center"/>
        </w:trPr>
        <w:tc>
          <w:tcPr>
            <w:tcW w:w="613" w:type="pct"/>
          </w:tcPr>
          <w:p w:rsidR="00DA4DD8" w:rsidRPr="006D584B" w:rsidRDefault="006D584B" w:rsidP="006D584B">
            <w:pPr>
              <w:jc w:val="both"/>
              <w:rPr>
                <w:rFonts w:ascii="Times New Roman" w:hAnsi="Times New Roman"/>
              </w:rPr>
            </w:pPr>
            <w:r w:rsidRPr="006D584B">
              <w:rPr>
                <w:rFonts w:ascii="Times New Roman" w:hAnsi="Times New Roman"/>
                <w:sz w:val="22"/>
                <w:szCs w:val="22"/>
              </w:rPr>
              <w:t xml:space="preserve">Total Assets </w:t>
            </w:r>
            <w:r w:rsidR="00DA4DD8" w:rsidRPr="006D584B">
              <w:rPr>
                <w:rFonts w:ascii="Times New Roman" w:hAnsi="Times New Roman"/>
                <w:sz w:val="22"/>
                <w:szCs w:val="22"/>
              </w:rPr>
              <w:t xml:space="preserve"> (in million)</w:t>
            </w:r>
          </w:p>
        </w:tc>
        <w:tc>
          <w:tcPr>
            <w:tcW w:w="548"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9069.83</w:t>
            </w:r>
          </w:p>
        </w:tc>
        <w:tc>
          <w:tcPr>
            <w:tcW w:w="617"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10810.33</w:t>
            </w:r>
          </w:p>
        </w:tc>
        <w:tc>
          <w:tcPr>
            <w:tcW w:w="679"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12498.548</w:t>
            </w:r>
          </w:p>
        </w:tc>
        <w:tc>
          <w:tcPr>
            <w:tcW w:w="679"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17490.782</w:t>
            </w:r>
          </w:p>
        </w:tc>
        <w:tc>
          <w:tcPr>
            <w:tcW w:w="679"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20678.791</w:t>
            </w:r>
          </w:p>
        </w:tc>
        <w:tc>
          <w:tcPr>
            <w:tcW w:w="419"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w:t>
            </w:r>
          </w:p>
        </w:tc>
        <w:tc>
          <w:tcPr>
            <w:tcW w:w="349"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w:t>
            </w:r>
          </w:p>
        </w:tc>
        <w:tc>
          <w:tcPr>
            <w:tcW w:w="415"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w:t>
            </w:r>
          </w:p>
        </w:tc>
      </w:tr>
      <w:tr w:rsidR="00DA4DD8" w:rsidRPr="006D584B" w:rsidTr="006D584B">
        <w:trPr>
          <w:jc w:val="center"/>
        </w:trPr>
        <w:tc>
          <w:tcPr>
            <w:tcW w:w="613" w:type="pct"/>
          </w:tcPr>
          <w:p w:rsidR="00DA4DD8" w:rsidRPr="006D584B" w:rsidRDefault="006D584B" w:rsidP="006D584B">
            <w:pPr>
              <w:jc w:val="both"/>
              <w:rPr>
                <w:rFonts w:ascii="Times New Roman" w:hAnsi="Times New Roman"/>
              </w:rPr>
            </w:pPr>
            <w:r w:rsidRPr="006D584B">
              <w:rPr>
                <w:rFonts w:ascii="Times New Roman" w:hAnsi="Times New Roman"/>
                <w:sz w:val="22"/>
                <w:szCs w:val="22"/>
              </w:rPr>
              <w:t>Return on Assets</w:t>
            </w:r>
            <w:r w:rsidR="00DA4DD8" w:rsidRPr="006D584B">
              <w:rPr>
                <w:rFonts w:ascii="Times New Roman" w:hAnsi="Times New Roman"/>
                <w:sz w:val="22"/>
                <w:szCs w:val="22"/>
              </w:rPr>
              <w:t xml:space="preserve"> (%) </w:t>
            </w:r>
          </w:p>
        </w:tc>
        <w:tc>
          <w:tcPr>
            <w:tcW w:w="548"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1.48</w:t>
            </w:r>
          </w:p>
        </w:tc>
        <w:tc>
          <w:tcPr>
            <w:tcW w:w="617"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0.71</w:t>
            </w:r>
          </w:p>
        </w:tc>
        <w:tc>
          <w:tcPr>
            <w:tcW w:w="679"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0.68</w:t>
            </w:r>
          </w:p>
        </w:tc>
        <w:tc>
          <w:tcPr>
            <w:tcW w:w="679"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0.7</w:t>
            </w:r>
          </w:p>
        </w:tc>
        <w:tc>
          <w:tcPr>
            <w:tcW w:w="679"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0.35</w:t>
            </w:r>
          </w:p>
        </w:tc>
        <w:tc>
          <w:tcPr>
            <w:tcW w:w="419"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8.14</w:t>
            </w:r>
          </w:p>
        </w:tc>
        <w:tc>
          <w:tcPr>
            <w:tcW w:w="349"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3.37</w:t>
            </w:r>
          </w:p>
        </w:tc>
        <w:tc>
          <w:tcPr>
            <w:tcW w:w="415" w:type="pct"/>
          </w:tcPr>
          <w:p w:rsidR="00DA4DD8" w:rsidRPr="006D584B" w:rsidRDefault="00DA4DD8" w:rsidP="006D584B">
            <w:pPr>
              <w:jc w:val="right"/>
              <w:rPr>
                <w:rFonts w:ascii="Times New Roman" w:hAnsi="Times New Roman"/>
              </w:rPr>
            </w:pPr>
            <w:r w:rsidRPr="006D584B">
              <w:rPr>
                <w:rFonts w:ascii="Times New Roman" w:hAnsi="Times New Roman"/>
                <w:sz w:val="22"/>
                <w:szCs w:val="22"/>
              </w:rPr>
              <w:t>41.44</w:t>
            </w:r>
          </w:p>
        </w:tc>
      </w:tr>
    </w:tbl>
    <w:p w:rsidR="00DA4DD8" w:rsidRPr="0053669A" w:rsidRDefault="007956E3" w:rsidP="00FD1AA2">
      <w:pPr>
        <w:spacing w:after="240" w:line="360" w:lineRule="auto"/>
        <w:jc w:val="both"/>
        <w:rPr>
          <w:rFonts w:ascii="Times New Roman" w:hAnsi="Times New Roman"/>
          <w:i/>
        </w:rPr>
      </w:pPr>
      <w:r w:rsidRPr="0053669A">
        <w:rPr>
          <w:rFonts w:ascii="Times New Roman" w:hAnsi="Times New Roman"/>
          <w:i/>
        </w:rPr>
        <w:t>Source:</w:t>
      </w:r>
      <w:r w:rsidR="00DA4DD8" w:rsidRPr="0053669A">
        <w:rPr>
          <w:rFonts w:ascii="Times New Roman" w:hAnsi="Times New Roman"/>
          <w:i/>
        </w:rPr>
        <w:t xml:space="preserve"> Annual Reports of MBL</w:t>
      </w:r>
    </w:p>
    <w:p w:rsidR="00DA4DD8" w:rsidRPr="00FD1AA2" w:rsidRDefault="00DA4DD8" w:rsidP="00FD1AA2">
      <w:pPr>
        <w:spacing w:after="240" w:line="360" w:lineRule="auto"/>
        <w:jc w:val="center"/>
        <w:rPr>
          <w:rFonts w:ascii="Times New Roman" w:hAnsi="Times New Roman"/>
          <w:b/>
        </w:rPr>
      </w:pPr>
      <w:r w:rsidRPr="00FD1AA2">
        <w:rPr>
          <w:rFonts w:ascii="Times New Roman" w:hAnsi="Times New Roman"/>
          <w:b/>
        </w:rPr>
        <w:t xml:space="preserve">Figure </w:t>
      </w:r>
      <w:r w:rsidR="007956E3">
        <w:rPr>
          <w:rFonts w:ascii="Times New Roman" w:hAnsi="Times New Roman"/>
          <w:b/>
        </w:rPr>
        <w:t xml:space="preserve">: </w:t>
      </w:r>
      <w:r w:rsidRPr="00FD1AA2">
        <w:rPr>
          <w:rFonts w:ascii="Times New Roman" w:hAnsi="Times New Roman"/>
          <w:b/>
        </w:rPr>
        <w:t>4.8</w:t>
      </w:r>
      <w:r w:rsidRPr="00FD1AA2">
        <w:rPr>
          <w:rFonts w:ascii="Times New Roman" w:hAnsi="Times New Roman"/>
          <w:b/>
        </w:rPr>
        <w:tab/>
      </w:r>
    </w:p>
    <w:p w:rsidR="00DA4DD8" w:rsidRPr="00FD1AA2" w:rsidRDefault="00DA4DD8" w:rsidP="00FD1AA2">
      <w:pPr>
        <w:spacing w:after="240" w:line="360" w:lineRule="auto"/>
        <w:jc w:val="center"/>
        <w:rPr>
          <w:rFonts w:ascii="Times New Roman" w:hAnsi="Times New Roman"/>
          <w:b/>
        </w:rPr>
      </w:pPr>
      <w:r w:rsidRPr="00FD1AA2">
        <w:rPr>
          <w:rFonts w:ascii="Times New Roman" w:hAnsi="Times New Roman"/>
          <w:b/>
        </w:rPr>
        <w:t>Return on Asset Ratio</w:t>
      </w:r>
    </w:p>
    <w:p w:rsidR="00DA4DD8" w:rsidRPr="00FD1AA2" w:rsidRDefault="009A308E" w:rsidP="00FD1AA2">
      <w:pPr>
        <w:spacing w:after="240" w:line="360" w:lineRule="auto"/>
        <w:rPr>
          <w:rFonts w:ascii="Times New Roman" w:hAnsi="Times New Roman"/>
          <w:b/>
        </w:rPr>
      </w:pPr>
      <w:r>
        <w:rPr>
          <w:rFonts w:ascii="Times New Roman" w:hAnsi="Times New Roman"/>
          <w:b/>
          <w:noProof/>
          <w:lang w:bidi="ar-SA"/>
        </w:rPr>
        <w:drawing>
          <wp:inline distT="0" distB="0" distL="0" distR="0">
            <wp:extent cx="5274945" cy="3143056"/>
            <wp:effectExtent l="12192" t="6096" r="15113" b="3623"/>
            <wp:docPr id="41" name="Char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A4DD8" w:rsidRPr="00FD1AA2" w:rsidRDefault="00DA4DD8" w:rsidP="00FD1AA2">
      <w:pPr>
        <w:widowControl w:val="0"/>
        <w:tabs>
          <w:tab w:val="left" w:pos="9000"/>
        </w:tabs>
        <w:spacing w:after="240" w:line="360" w:lineRule="auto"/>
        <w:jc w:val="both"/>
        <w:rPr>
          <w:rFonts w:ascii="Times New Roman" w:hAnsi="Times New Roman"/>
        </w:rPr>
      </w:pPr>
      <w:r w:rsidRPr="00FD1AA2">
        <w:rPr>
          <w:rFonts w:ascii="Times New Roman" w:hAnsi="Times New Roman"/>
        </w:rPr>
        <w:t>The above table and figure 4.8 shows ROA of MBL for the study period 1.48%, 0.71%, 0.68%,</w:t>
      </w:r>
      <w:r w:rsidR="005930F7">
        <w:rPr>
          <w:rFonts w:ascii="Times New Roman" w:hAnsi="Times New Roman"/>
        </w:rPr>
        <w:t xml:space="preserve"> </w:t>
      </w:r>
      <w:r w:rsidRPr="00FD1AA2">
        <w:rPr>
          <w:rFonts w:ascii="Times New Roman" w:hAnsi="Times New Roman"/>
        </w:rPr>
        <w:t xml:space="preserve">0.7% and 0.35% in FY 2062/063 to FY 2066/067 respectively. The ROA of MBL is range from a minimum of 0.35% in 2066/067 and maximum of 1.48% in 2062/063 over the study period. The ROA ratio of MBL is in fluctuating </w:t>
      </w:r>
      <w:r w:rsidRPr="00FD1AA2">
        <w:rPr>
          <w:rFonts w:ascii="Times New Roman" w:hAnsi="Times New Roman"/>
        </w:rPr>
        <w:lastRenderedPageBreak/>
        <w:t>trend. The ratio has decreased to 0.68% till F.Y. 2064/065 than increased to 0.7% in F.Y. 2065/066. The ratio again decreased to 0.35% in the final year 2066/067. The mean average of return on asset ratio is 0.78% standard deviation is 0.37 and coefficient variation is 47.82%.</w:t>
      </w:r>
    </w:p>
    <w:p w:rsidR="00DA4DD8" w:rsidRPr="007956E3" w:rsidRDefault="00DA4DD8" w:rsidP="00FD1AA2">
      <w:pPr>
        <w:widowControl w:val="0"/>
        <w:spacing w:after="240" w:line="360" w:lineRule="auto"/>
        <w:rPr>
          <w:rFonts w:ascii="Times New Roman" w:hAnsi="Times New Roman"/>
          <w:b/>
          <w:sz w:val="28"/>
        </w:rPr>
      </w:pPr>
      <w:r w:rsidRPr="007956E3">
        <w:rPr>
          <w:rFonts w:ascii="Times New Roman" w:hAnsi="Times New Roman"/>
          <w:b/>
          <w:sz w:val="28"/>
        </w:rPr>
        <w:t>4.4.2</w:t>
      </w:r>
      <w:r w:rsidRPr="007956E3">
        <w:rPr>
          <w:rFonts w:ascii="Times New Roman" w:hAnsi="Times New Roman"/>
          <w:b/>
          <w:sz w:val="28"/>
        </w:rPr>
        <w:tab/>
        <w:t>Return on Equity Ratio (ROE)</w:t>
      </w:r>
    </w:p>
    <w:p w:rsidR="00DA4DD8" w:rsidRPr="00FD1AA2" w:rsidRDefault="00DA4DD8" w:rsidP="00FD1AA2">
      <w:pPr>
        <w:widowControl w:val="0"/>
        <w:spacing w:after="240" w:line="360" w:lineRule="auto"/>
        <w:jc w:val="both"/>
        <w:rPr>
          <w:rFonts w:ascii="Times New Roman" w:hAnsi="Times New Roman"/>
        </w:rPr>
      </w:pPr>
      <w:r w:rsidRPr="00FD1AA2">
        <w:rPr>
          <w:rFonts w:ascii="Times New Roman" w:hAnsi="Times New Roman"/>
        </w:rPr>
        <w:tab/>
        <w:t xml:space="preserve">The return on equity indicates the relationship between net profit after tax to total equity capital. It measures of the rate of return following to the company's shareholders. Higher is the return on equity, higher the investment which the shareholder will undertake. </w:t>
      </w:r>
    </w:p>
    <w:p w:rsidR="00DA4DD8" w:rsidRPr="00FD1AA2" w:rsidRDefault="00DA4DD8" w:rsidP="00FD1AA2">
      <w:pPr>
        <w:widowControl w:val="0"/>
        <w:spacing w:after="240" w:line="360" w:lineRule="auto"/>
        <w:jc w:val="center"/>
        <w:rPr>
          <w:rFonts w:ascii="Times New Roman" w:hAnsi="Times New Roman"/>
          <w:b/>
        </w:rPr>
      </w:pPr>
      <w:r w:rsidRPr="00FD1AA2">
        <w:rPr>
          <w:rFonts w:ascii="Times New Roman" w:hAnsi="Times New Roman"/>
          <w:b/>
        </w:rPr>
        <w:t>Table</w:t>
      </w:r>
      <w:r w:rsidR="007956E3">
        <w:rPr>
          <w:rFonts w:ascii="Times New Roman" w:hAnsi="Times New Roman"/>
          <w:b/>
        </w:rPr>
        <w:t xml:space="preserve"> :</w:t>
      </w:r>
      <w:r w:rsidRPr="00FD1AA2">
        <w:rPr>
          <w:rFonts w:ascii="Times New Roman" w:hAnsi="Times New Roman"/>
          <w:b/>
        </w:rPr>
        <w:t xml:space="preserve"> 4.9</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 xml:space="preserve">Return on Equity </w:t>
      </w:r>
    </w:p>
    <w:tbl>
      <w:tblPr>
        <w:tblW w:w="5152"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13"/>
        <w:gridCol w:w="1123"/>
        <w:gridCol w:w="1123"/>
        <w:gridCol w:w="1123"/>
        <w:gridCol w:w="1123"/>
        <w:gridCol w:w="1123"/>
        <w:gridCol w:w="763"/>
        <w:gridCol w:w="756"/>
        <w:gridCol w:w="756"/>
      </w:tblGrid>
      <w:tr w:rsidR="00DA4DD8" w:rsidRPr="00FD1AA2" w:rsidTr="00DA4DD8">
        <w:trPr>
          <w:jc w:val="center"/>
        </w:trPr>
        <w:tc>
          <w:tcPr>
            <w:tcW w:w="800"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Fiscal year</w:t>
            </w:r>
          </w:p>
        </w:tc>
        <w:tc>
          <w:tcPr>
            <w:tcW w:w="597"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2062/063</w:t>
            </w:r>
          </w:p>
        </w:tc>
        <w:tc>
          <w:tcPr>
            <w:tcW w:w="597"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2063/064</w:t>
            </w:r>
          </w:p>
        </w:tc>
        <w:tc>
          <w:tcPr>
            <w:tcW w:w="597"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2064/065</w:t>
            </w:r>
          </w:p>
        </w:tc>
        <w:tc>
          <w:tcPr>
            <w:tcW w:w="597"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2065/066</w:t>
            </w:r>
          </w:p>
        </w:tc>
        <w:tc>
          <w:tcPr>
            <w:tcW w:w="597"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2066/067</w:t>
            </w:r>
          </w:p>
        </w:tc>
        <w:tc>
          <w:tcPr>
            <w:tcW w:w="408" w:type="pct"/>
          </w:tcPr>
          <w:p w:rsidR="00DA4DD8" w:rsidRPr="00FD1AA2" w:rsidRDefault="00DA4DD8" w:rsidP="007A5296">
            <w:pPr>
              <w:pStyle w:val="ListParagraph"/>
              <w:widowControl w:val="0"/>
              <w:tabs>
                <w:tab w:val="left" w:pos="9000"/>
              </w:tabs>
              <w:spacing w:after="120" w:line="360" w:lineRule="auto"/>
              <w:ind w:left="0"/>
              <w:jc w:val="right"/>
              <w:rPr>
                <w:rFonts w:ascii="Times New Roman" w:hAnsi="Times New Roman"/>
              </w:rPr>
            </w:pPr>
            <w:r w:rsidRPr="00FD1AA2">
              <w:rPr>
                <w:rFonts w:ascii="Times New Roman" w:hAnsi="Times New Roman"/>
              </w:rPr>
              <w:t xml:space="preserve">Mean </w:t>
            </w:r>
          </w:p>
        </w:tc>
        <w:tc>
          <w:tcPr>
            <w:tcW w:w="405" w:type="pct"/>
          </w:tcPr>
          <w:p w:rsidR="00DA4DD8" w:rsidRPr="00FD1AA2" w:rsidRDefault="00DA4DD8" w:rsidP="007A5296">
            <w:pPr>
              <w:pStyle w:val="ListParagraph"/>
              <w:widowControl w:val="0"/>
              <w:tabs>
                <w:tab w:val="left" w:pos="9000"/>
              </w:tabs>
              <w:spacing w:after="120" w:line="360" w:lineRule="auto"/>
              <w:ind w:left="0"/>
              <w:jc w:val="right"/>
              <w:rPr>
                <w:rFonts w:ascii="Times New Roman" w:hAnsi="Times New Roman"/>
              </w:rPr>
            </w:pPr>
            <w:r w:rsidRPr="00FD1AA2">
              <w:rPr>
                <w:rFonts w:ascii="Times New Roman" w:hAnsi="Times New Roman"/>
              </w:rPr>
              <w:t xml:space="preserve">S.D </w:t>
            </w:r>
          </w:p>
        </w:tc>
        <w:tc>
          <w:tcPr>
            <w:tcW w:w="405" w:type="pct"/>
          </w:tcPr>
          <w:p w:rsidR="00DA4DD8" w:rsidRPr="00FD1AA2" w:rsidRDefault="00DA4DD8" w:rsidP="007A5296">
            <w:pPr>
              <w:pStyle w:val="ListParagraph"/>
              <w:widowControl w:val="0"/>
              <w:tabs>
                <w:tab w:val="left" w:pos="9000"/>
              </w:tabs>
              <w:spacing w:after="120" w:line="360" w:lineRule="auto"/>
              <w:ind w:left="0"/>
              <w:jc w:val="right"/>
              <w:rPr>
                <w:rFonts w:ascii="Times New Roman" w:hAnsi="Times New Roman"/>
              </w:rPr>
            </w:pPr>
            <w:r w:rsidRPr="00FD1AA2">
              <w:rPr>
                <w:rFonts w:ascii="Times New Roman" w:hAnsi="Times New Roman"/>
              </w:rPr>
              <w:t>CV</w:t>
            </w:r>
          </w:p>
        </w:tc>
      </w:tr>
      <w:tr w:rsidR="00DA4DD8" w:rsidRPr="00FD1AA2" w:rsidTr="00DA4DD8">
        <w:trPr>
          <w:jc w:val="center"/>
        </w:trPr>
        <w:tc>
          <w:tcPr>
            <w:tcW w:w="800"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Net-profit after tax (in million)</w:t>
            </w:r>
          </w:p>
        </w:tc>
        <w:tc>
          <w:tcPr>
            <w:tcW w:w="597"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133.997</w:t>
            </w:r>
          </w:p>
        </w:tc>
        <w:tc>
          <w:tcPr>
            <w:tcW w:w="597"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76.799</w:t>
            </w:r>
          </w:p>
        </w:tc>
        <w:tc>
          <w:tcPr>
            <w:tcW w:w="597"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85.016</w:t>
            </w:r>
          </w:p>
        </w:tc>
        <w:tc>
          <w:tcPr>
            <w:tcW w:w="597"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123.251</w:t>
            </w:r>
          </w:p>
        </w:tc>
        <w:tc>
          <w:tcPr>
            <w:tcW w:w="597"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73.313</w:t>
            </w:r>
          </w:p>
        </w:tc>
        <w:tc>
          <w:tcPr>
            <w:tcW w:w="408"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w:t>
            </w:r>
          </w:p>
        </w:tc>
        <w:tc>
          <w:tcPr>
            <w:tcW w:w="405"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w:t>
            </w:r>
          </w:p>
        </w:tc>
        <w:tc>
          <w:tcPr>
            <w:tcW w:w="405"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w:t>
            </w:r>
          </w:p>
        </w:tc>
      </w:tr>
      <w:tr w:rsidR="00DA4DD8" w:rsidRPr="00FD1AA2" w:rsidTr="00DA4DD8">
        <w:trPr>
          <w:jc w:val="center"/>
        </w:trPr>
        <w:tc>
          <w:tcPr>
            <w:tcW w:w="800"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Shareholder's Equity (in million)</w:t>
            </w:r>
          </w:p>
        </w:tc>
        <w:tc>
          <w:tcPr>
            <w:tcW w:w="597"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931.091</w:t>
            </w:r>
          </w:p>
        </w:tc>
        <w:tc>
          <w:tcPr>
            <w:tcW w:w="597"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1007.292</w:t>
            </w:r>
          </w:p>
        </w:tc>
        <w:tc>
          <w:tcPr>
            <w:tcW w:w="597"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1163.347</w:t>
            </w:r>
          </w:p>
        </w:tc>
        <w:tc>
          <w:tcPr>
            <w:tcW w:w="597"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1700.197</w:t>
            </w:r>
          </w:p>
        </w:tc>
        <w:tc>
          <w:tcPr>
            <w:tcW w:w="597"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1773.511</w:t>
            </w:r>
          </w:p>
        </w:tc>
        <w:tc>
          <w:tcPr>
            <w:tcW w:w="408"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w:t>
            </w:r>
          </w:p>
        </w:tc>
        <w:tc>
          <w:tcPr>
            <w:tcW w:w="405"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w:t>
            </w:r>
          </w:p>
        </w:tc>
        <w:tc>
          <w:tcPr>
            <w:tcW w:w="405"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w:t>
            </w:r>
          </w:p>
        </w:tc>
      </w:tr>
      <w:tr w:rsidR="00DA4DD8" w:rsidRPr="00FD1AA2" w:rsidTr="00DA4DD8">
        <w:trPr>
          <w:jc w:val="center"/>
        </w:trPr>
        <w:tc>
          <w:tcPr>
            <w:tcW w:w="800"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 xml:space="preserve"> Return on Equity (%) </w:t>
            </w:r>
          </w:p>
        </w:tc>
        <w:tc>
          <w:tcPr>
            <w:tcW w:w="597"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14.39</w:t>
            </w:r>
          </w:p>
        </w:tc>
        <w:tc>
          <w:tcPr>
            <w:tcW w:w="597"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7.62</w:t>
            </w:r>
          </w:p>
        </w:tc>
        <w:tc>
          <w:tcPr>
            <w:tcW w:w="597"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7.31</w:t>
            </w:r>
          </w:p>
        </w:tc>
        <w:tc>
          <w:tcPr>
            <w:tcW w:w="597"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7.25</w:t>
            </w:r>
          </w:p>
        </w:tc>
        <w:tc>
          <w:tcPr>
            <w:tcW w:w="597"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4.13</w:t>
            </w:r>
          </w:p>
        </w:tc>
        <w:tc>
          <w:tcPr>
            <w:tcW w:w="408"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0.78</w:t>
            </w:r>
          </w:p>
        </w:tc>
        <w:tc>
          <w:tcPr>
            <w:tcW w:w="405"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0.373</w:t>
            </w:r>
          </w:p>
        </w:tc>
        <w:tc>
          <w:tcPr>
            <w:tcW w:w="405" w:type="pct"/>
          </w:tcPr>
          <w:p w:rsidR="00DA4DD8" w:rsidRPr="00FD1AA2" w:rsidRDefault="00DA4DD8" w:rsidP="007A5296">
            <w:pPr>
              <w:spacing w:after="120" w:line="360" w:lineRule="auto"/>
              <w:jc w:val="both"/>
              <w:rPr>
                <w:rFonts w:ascii="Times New Roman" w:hAnsi="Times New Roman"/>
              </w:rPr>
            </w:pPr>
            <w:r w:rsidRPr="00FD1AA2">
              <w:rPr>
                <w:rFonts w:ascii="Times New Roman" w:hAnsi="Times New Roman"/>
              </w:rPr>
              <w:t>47.82</w:t>
            </w:r>
          </w:p>
        </w:tc>
      </w:tr>
    </w:tbl>
    <w:p w:rsidR="00DA4DD8" w:rsidRPr="00DA72D0" w:rsidRDefault="00DA4DD8" w:rsidP="00FD1AA2">
      <w:pPr>
        <w:spacing w:after="240" w:line="360" w:lineRule="auto"/>
        <w:jc w:val="both"/>
        <w:rPr>
          <w:rFonts w:ascii="Times New Roman" w:hAnsi="Times New Roman"/>
          <w:i/>
        </w:rPr>
      </w:pPr>
      <w:r w:rsidRPr="00DA72D0">
        <w:rPr>
          <w:rFonts w:ascii="Times New Roman" w:hAnsi="Times New Roman"/>
          <w:i/>
        </w:rPr>
        <w:t>Source : Annual Reports of MBL</w:t>
      </w:r>
    </w:p>
    <w:p w:rsidR="00DA4DD8" w:rsidRPr="00FD1AA2" w:rsidRDefault="00DA4DD8" w:rsidP="00FD1AA2">
      <w:pPr>
        <w:spacing w:after="240" w:line="360" w:lineRule="auto"/>
        <w:rPr>
          <w:rFonts w:ascii="Times New Roman" w:hAnsi="Times New Roman"/>
          <w:b/>
        </w:rPr>
      </w:pPr>
      <w:r w:rsidRPr="00FD1AA2">
        <w:rPr>
          <w:rFonts w:ascii="Times New Roman" w:hAnsi="Times New Roman"/>
          <w:b/>
        </w:rPr>
        <w:br w:type="page"/>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lastRenderedPageBreak/>
        <w:t xml:space="preserve">Figure </w:t>
      </w:r>
      <w:r w:rsidR="001866AE">
        <w:rPr>
          <w:rFonts w:ascii="Times New Roman" w:hAnsi="Times New Roman"/>
          <w:b/>
        </w:rPr>
        <w:t xml:space="preserve">: </w:t>
      </w:r>
      <w:r w:rsidRPr="00FD1AA2">
        <w:rPr>
          <w:rFonts w:ascii="Times New Roman" w:hAnsi="Times New Roman"/>
          <w:b/>
        </w:rPr>
        <w:t>4.9</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 xml:space="preserve">Return on Equity Ratio </w:t>
      </w:r>
    </w:p>
    <w:p w:rsidR="00DA4DD8" w:rsidRPr="00FD1AA2" w:rsidRDefault="009A308E" w:rsidP="00FD1AA2">
      <w:pPr>
        <w:widowControl w:val="0"/>
        <w:tabs>
          <w:tab w:val="left" w:pos="9000"/>
        </w:tabs>
        <w:spacing w:after="240" w:line="360" w:lineRule="auto"/>
        <w:jc w:val="center"/>
        <w:rPr>
          <w:rFonts w:ascii="Times New Roman" w:hAnsi="Times New Roman"/>
          <w:b/>
        </w:rPr>
      </w:pPr>
      <w:r>
        <w:rPr>
          <w:rFonts w:ascii="Times New Roman" w:hAnsi="Times New Roman"/>
          <w:b/>
          <w:noProof/>
          <w:lang w:bidi="ar-SA"/>
        </w:rPr>
        <w:drawing>
          <wp:inline distT="0" distB="0" distL="0" distR="0">
            <wp:extent cx="5135499" cy="2951734"/>
            <wp:effectExtent l="12192" t="6096" r="11049" b="3810"/>
            <wp:docPr id="40" name="Char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 xml:space="preserve"> In above table &amp; figure 4.9 shows ROE of MBL for the study period. 14.39%, 7.62%, 7.31%, 7.25% &amp; 4.13% in FY 2062/063 to FY 2066/067 respectively. The return on equity of MBL was maximum with 14.39% at FY 2062/063 &amp; minimum with 4.13% at FY 2066/067 over the study period. The ratio is in decreasing trend with highest ratio 14.39% in FY 2062/063 to FY 2066/067. Share holder's equity is increased but the profit of the bank is decrease in same ratio. Thatway the ROE ratio of the bank also decrease. Profit of the bank is fluctuating over the study period in decreasing trend.</w:t>
      </w:r>
    </w:p>
    <w:p w:rsidR="00DA4DD8" w:rsidRPr="008E13FA" w:rsidRDefault="00DA4DD8" w:rsidP="00FD1AA2">
      <w:pPr>
        <w:widowControl w:val="0"/>
        <w:tabs>
          <w:tab w:val="left" w:pos="9000"/>
        </w:tabs>
        <w:spacing w:after="240" w:line="360" w:lineRule="auto"/>
        <w:jc w:val="both"/>
        <w:rPr>
          <w:rFonts w:ascii="Times New Roman" w:hAnsi="Times New Roman"/>
          <w:b/>
          <w:sz w:val="28"/>
        </w:rPr>
      </w:pPr>
      <w:r w:rsidRPr="008E13FA">
        <w:rPr>
          <w:rFonts w:ascii="Times New Roman" w:hAnsi="Times New Roman"/>
          <w:b/>
          <w:sz w:val="28"/>
        </w:rPr>
        <w:t>4.4.3 Earning Per Share (EPS)</w:t>
      </w:r>
    </w:p>
    <w:p w:rsidR="00DA4DD8" w:rsidRPr="00FD1AA2" w:rsidRDefault="00DA4DD8" w:rsidP="00FD1AA2">
      <w:pPr>
        <w:widowControl w:val="0"/>
        <w:tabs>
          <w:tab w:val="left" w:pos="9000"/>
        </w:tabs>
        <w:spacing w:after="240" w:line="360" w:lineRule="auto"/>
        <w:jc w:val="both"/>
        <w:rPr>
          <w:rFonts w:ascii="Times New Roman" w:hAnsi="Times New Roman"/>
        </w:rPr>
      </w:pPr>
      <w:r w:rsidRPr="00FD1AA2">
        <w:rPr>
          <w:rFonts w:ascii="Times New Roman" w:hAnsi="Times New Roman"/>
        </w:rPr>
        <w:t>The earnings per share show the profitability of the bank on per share basis. It shows the earning available to each shareholder out of the total earning. The earnings per share is calculated by dividing the profit after tax by total number or common share outstanding. The mean ratio of ROE is 8.14%, standard deviation is 3.37 and Coefficient of variation is 41.44%.</w:t>
      </w:r>
    </w:p>
    <w:p w:rsidR="00DA4DD8" w:rsidRPr="00FD1AA2" w:rsidRDefault="00DA4DD8" w:rsidP="00FD1AA2">
      <w:pPr>
        <w:spacing w:after="240" w:line="360" w:lineRule="auto"/>
        <w:rPr>
          <w:rFonts w:ascii="Times New Roman" w:hAnsi="Times New Roman"/>
          <w:b/>
        </w:rPr>
      </w:pPr>
      <w:r w:rsidRPr="00FD1AA2">
        <w:rPr>
          <w:rFonts w:ascii="Times New Roman" w:hAnsi="Times New Roman"/>
          <w:b/>
        </w:rPr>
        <w:br w:type="page"/>
      </w:r>
    </w:p>
    <w:p w:rsidR="00DA4DD8" w:rsidRPr="00FD1AA2" w:rsidRDefault="00DA4DD8" w:rsidP="00FD1AA2">
      <w:pPr>
        <w:widowControl w:val="0"/>
        <w:tabs>
          <w:tab w:val="left" w:pos="9000"/>
        </w:tabs>
        <w:spacing w:after="240" w:line="360" w:lineRule="auto"/>
        <w:jc w:val="center"/>
        <w:rPr>
          <w:rFonts w:ascii="Times New Roman" w:hAnsi="Times New Roman"/>
        </w:rPr>
      </w:pPr>
      <w:r w:rsidRPr="00FD1AA2">
        <w:rPr>
          <w:rFonts w:ascii="Times New Roman" w:hAnsi="Times New Roman"/>
          <w:b/>
        </w:rPr>
        <w:lastRenderedPageBreak/>
        <w:t xml:space="preserve">Table </w:t>
      </w:r>
      <w:r w:rsidR="00024326">
        <w:rPr>
          <w:rFonts w:ascii="Times New Roman" w:hAnsi="Times New Roman"/>
          <w:b/>
        </w:rPr>
        <w:t xml:space="preserve">: </w:t>
      </w:r>
      <w:r w:rsidRPr="00FD1AA2">
        <w:rPr>
          <w:rFonts w:ascii="Times New Roman" w:hAnsi="Times New Roman"/>
          <w:b/>
        </w:rPr>
        <w:t>4.10</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Earnings Per Share (Rs.)</w:t>
      </w:r>
    </w:p>
    <w:tbl>
      <w:tblPr>
        <w:tblW w:w="5379" w:type="pct"/>
        <w:jc w:val="center"/>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432"/>
        <w:gridCol w:w="1068"/>
        <w:gridCol w:w="1073"/>
        <w:gridCol w:w="1073"/>
        <w:gridCol w:w="1137"/>
        <w:gridCol w:w="1073"/>
        <w:gridCol w:w="835"/>
        <w:gridCol w:w="717"/>
        <w:gridCol w:w="763"/>
      </w:tblGrid>
      <w:tr w:rsidR="00DA4DD8" w:rsidRPr="00FD1AA2" w:rsidTr="00FF4E28">
        <w:trPr>
          <w:jc w:val="center"/>
        </w:trPr>
        <w:tc>
          <w:tcPr>
            <w:tcW w:w="781" w:type="pct"/>
          </w:tcPr>
          <w:p w:rsidR="00DA4DD8" w:rsidRPr="00FF4E28" w:rsidRDefault="00DA4DD8" w:rsidP="007A5296">
            <w:pPr>
              <w:spacing w:after="120"/>
              <w:jc w:val="center"/>
              <w:rPr>
                <w:rFonts w:ascii="Times New Roman" w:hAnsi="Times New Roman"/>
                <w:b/>
              </w:rPr>
            </w:pPr>
            <w:r w:rsidRPr="00FF4E28">
              <w:rPr>
                <w:rFonts w:ascii="Times New Roman" w:hAnsi="Times New Roman"/>
                <w:b/>
                <w:sz w:val="22"/>
                <w:szCs w:val="22"/>
              </w:rPr>
              <w:t>Fiscal Year</w:t>
            </w:r>
          </w:p>
        </w:tc>
        <w:tc>
          <w:tcPr>
            <w:tcW w:w="582" w:type="pct"/>
          </w:tcPr>
          <w:p w:rsidR="00DA4DD8" w:rsidRPr="00FF4E28" w:rsidRDefault="00DA4DD8" w:rsidP="007A5296">
            <w:pPr>
              <w:spacing w:after="120"/>
              <w:jc w:val="center"/>
              <w:rPr>
                <w:rFonts w:ascii="Times New Roman" w:hAnsi="Times New Roman"/>
              </w:rPr>
            </w:pPr>
            <w:r w:rsidRPr="00FF4E28">
              <w:rPr>
                <w:rFonts w:ascii="Times New Roman" w:hAnsi="Times New Roman"/>
                <w:sz w:val="22"/>
                <w:szCs w:val="22"/>
              </w:rPr>
              <w:t>2062/063</w:t>
            </w:r>
          </w:p>
        </w:tc>
        <w:tc>
          <w:tcPr>
            <w:tcW w:w="585" w:type="pct"/>
          </w:tcPr>
          <w:p w:rsidR="00DA4DD8" w:rsidRPr="00FF4E28" w:rsidRDefault="00DA4DD8" w:rsidP="007A5296">
            <w:pPr>
              <w:spacing w:after="120"/>
              <w:jc w:val="center"/>
              <w:rPr>
                <w:rFonts w:ascii="Times New Roman" w:hAnsi="Times New Roman"/>
              </w:rPr>
            </w:pPr>
            <w:r w:rsidRPr="00FF4E28">
              <w:rPr>
                <w:rFonts w:ascii="Times New Roman" w:hAnsi="Times New Roman"/>
                <w:sz w:val="22"/>
                <w:szCs w:val="22"/>
              </w:rPr>
              <w:t>2063/064</w:t>
            </w:r>
          </w:p>
        </w:tc>
        <w:tc>
          <w:tcPr>
            <w:tcW w:w="585" w:type="pct"/>
          </w:tcPr>
          <w:p w:rsidR="00DA4DD8" w:rsidRPr="00FF4E28" w:rsidRDefault="00DA4DD8" w:rsidP="007A5296">
            <w:pPr>
              <w:spacing w:after="120"/>
              <w:jc w:val="center"/>
              <w:rPr>
                <w:rFonts w:ascii="Times New Roman" w:hAnsi="Times New Roman"/>
              </w:rPr>
            </w:pPr>
            <w:r w:rsidRPr="00FF4E28">
              <w:rPr>
                <w:rFonts w:ascii="Times New Roman" w:hAnsi="Times New Roman"/>
                <w:sz w:val="22"/>
                <w:szCs w:val="22"/>
              </w:rPr>
              <w:t>2064/065</w:t>
            </w:r>
          </w:p>
        </w:tc>
        <w:tc>
          <w:tcPr>
            <w:tcW w:w="620" w:type="pct"/>
          </w:tcPr>
          <w:p w:rsidR="00DA4DD8" w:rsidRPr="00FF4E28" w:rsidRDefault="00DA4DD8" w:rsidP="007A5296">
            <w:pPr>
              <w:spacing w:after="120"/>
              <w:jc w:val="center"/>
              <w:rPr>
                <w:rFonts w:ascii="Times New Roman" w:hAnsi="Times New Roman"/>
              </w:rPr>
            </w:pPr>
            <w:r w:rsidRPr="00FF4E28">
              <w:rPr>
                <w:rFonts w:ascii="Times New Roman" w:hAnsi="Times New Roman"/>
                <w:sz w:val="22"/>
                <w:szCs w:val="22"/>
              </w:rPr>
              <w:t>2065/066</w:t>
            </w:r>
          </w:p>
        </w:tc>
        <w:tc>
          <w:tcPr>
            <w:tcW w:w="585" w:type="pct"/>
          </w:tcPr>
          <w:p w:rsidR="00DA4DD8" w:rsidRPr="00FF4E28" w:rsidRDefault="00DA4DD8" w:rsidP="007A5296">
            <w:pPr>
              <w:spacing w:after="120"/>
              <w:jc w:val="center"/>
              <w:rPr>
                <w:rFonts w:ascii="Times New Roman" w:hAnsi="Times New Roman"/>
              </w:rPr>
            </w:pPr>
            <w:r w:rsidRPr="00FF4E28">
              <w:rPr>
                <w:rFonts w:ascii="Times New Roman" w:hAnsi="Times New Roman"/>
                <w:sz w:val="22"/>
                <w:szCs w:val="22"/>
              </w:rPr>
              <w:t>2066/067</w:t>
            </w:r>
          </w:p>
        </w:tc>
        <w:tc>
          <w:tcPr>
            <w:tcW w:w="455" w:type="pct"/>
          </w:tcPr>
          <w:p w:rsidR="00DA4DD8" w:rsidRPr="00FF4E28" w:rsidRDefault="00DA4DD8" w:rsidP="007A5296">
            <w:pPr>
              <w:pStyle w:val="ListParagraph"/>
              <w:widowControl w:val="0"/>
              <w:tabs>
                <w:tab w:val="left" w:pos="9000"/>
              </w:tabs>
              <w:spacing w:after="120"/>
              <w:ind w:left="0"/>
              <w:jc w:val="right"/>
              <w:rPr>
                <w:rFonts w:ascii="Times New Roman" w:hAnsi="Times New Roman"/>
              </w:rPr>
            </w:pPr>
            <w:r w:rsidRPr="00FF4E28">
              <w:rPr>
                <w:rFonts w:ascii="Times New Roman" w:hAnsi="Times New Roman"/>
                <w:sz w:val="22"/>
                <w:szCs w:val="22"/>
              </w:rPr>
              <w:t xml:space="preserve">Mean </w:t>
            </w:r>
          </w:p>
        </w:tc>
        <w:tc>
          <w:tcPr>
            <w:tcW w:w="391" w:type="pct"/>
          </w:tcPr>
          <w:p w:rsidR="00DA4DD8" w:rsidRPr="00FF4E28" w:rsidRDefault="00DA4DD8" w:rsidP="007A5296">
            <w:pPr>
              <w:pStyle w:val="ListParagraph"/>
              <w:widowControl w:val="0"/>
              <w:tabs>
                <w:tab w:val="left" w:pos="9000"/>
              </w:tabs>
              <w:spacing w:after="120"/>
              <w:ind w:left="0"/>
              <w:jc w:val="right"/>
              <w:rPr>
                <w:rFonts w:ascii="Times New Roman" w:hAnsi="Times New Roman"/>
              </w:rPr>
            </w:pPr>
            <w:r w:rsidRPr="00FF4E28">
              <w:rPr>
                <w:rFonts w:ascii="Times New Roman" w:hAnsi="Times New Roman"/>
                <w:sz w:val="22"/>
                <w:szCs w:val="22"/>
              </w:rPr>
              <w:t xml:space="preserve">S.D </w:t>
            </w:r>
          </w:p>
        </w:tc>
        <w:tc>
          <w:tcPr>
            <w:tcW w:w="416" w:type="pct"/>
          </w:tcPr>
          <w:p w:rsidR="00DA4DD8" w:rsidRPr="00FF4E28" w:rsidRDefault="00DA4DD8" w:rsidP="007A5296">
            <w:pPr>
              <w:pStyle w:val="ListParagraph"/>
              <w:widowControl w:val="0"/>
              <w:tabs>
                <w:tab w:val="left" w:pos="9000"/>
              </w:tabs>
              <w:spacing w:after="120"/>
              <w:ind w:left="0"/>
              <w:jc w:val="right"/>
              <w:rPr>
                <w:rFonts w:ascii="Times New Roman" w:hAnsi="Times New Roman"/>
              </w:rPr>
            </w:pPr>
            <w:r w:rsidRPr="00FF4E28">
              <w:rPr>
                <w:rFonts w:ascii="Times New Roman" w:hAnsi="Times New Roman"/>
                <w:sz w:val="22"/>
                <w:szCs w:val="22"/>
              </w:rPr>
              <w:t>CV</w:t>
            </w:r>
          </w:p>
        </w:tc>
      </w:tr>
      <w:tr w:rsidR="00DA4DD8" w:rsidRPr="00FD1AA2" w:rsidTr="00FF4E28">
        <w:trPr>
          <w:jc w:val="center"/>
        </w:trPr>
        <w:tc>
          <w:tcPr>
            <w:tcW w:w="781" w:type="pct"/>
          </w:tcPr>
          <w:p w:rsidR="00DA4DD8" w:rsidRPr="00FF4E28" w:rsidRDefault="00DA4DD8" w:rsidP="007A5296">
            <w:pPr>
              <w:spacing w:after="120"/>
              <w:jc w:val="both"/>
              <w:rPr>
                <w:rFonts w:ascii="Times New Roman" w:hAnsi="Times New Roman"/>
              </w:rPr>
            </w:pPr>
            <w:r w:rsidRPr="00FF4E28">
              <w:rPr>
                <w:rFonts w:ascii="Times New Roman" w:hAnsi="Times New Roman"/>
                <w:sz w:val="22"/>
                <w:szCs w:val="22"/>
              </w:rPr>
              <w:t>Net Profit after Tax (Rs. in million)</w:t>
            </w:r>
          </w:p>
        </w:tc>
        <w:tc>
          <w:tcPr>
            <w:tcW w:w="582"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133.997</w:t>
            </w:r>
          </w:p>
        </w:tc>
        <w:tc>
          <w:tcPr>
            <w:tcW w:w="585"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76.799</w:t>
            </w:r>
          </w:p>
        </w:tc>
        <w:tc>
          <w:tcPr>
            <w:tcW w:w="585"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85.016</w:t>
            </w:r>
          </w:p>
        </w:tc>
        <w:tc>
          <w:tcPr>
            <w:tcW w:w="620"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123.251</w:t>
            </w:r>
          </w:p>
        </w:tc>
        <w:tc>
          <w:tcPr>
            <w:tcW w:w="585"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73.313</w:t>
            </w:r>
          </w:p>
        </w:tc>
        <w:tc>
          <w:tcPr>
            <w:tcW w:w="455"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w:t>
            </w:r>
          </w:p>
        </w:tc>
        <w:tc>
          <w:tcPr>
            <w:tcW w:w="391"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w:t>
            </w:r>
          </w:p>
        </w:tc>
        <w:tc>
          <w:tcPr>
            <w:tcW w:w="416"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w:t>
            </w:r>
          </w:p>
        </w:tc>
      </w:tr>
      <w:tr w:rsidR="00DA4DD8" w:rsidRPr="00FD1AA2" w:rsidTr="00FF4E28">
        <w:trPr>
          <w:jc w:val="center"/>
        </w:trPr>
        <w:tc>
          <w:tcPr>
            <w:tcW w:w="781" w:type="pct"/>
          </w:tcPr>
          <w:p w:rsidR="00DA4DD8" w:rsidRPr="00FF4E28" w:rsidRDefault="00DA4DD8" w:rsidP="007A5296">
            <w:pPr>
              <w:spacing w:after="120"/>
              <w:jc w:val="both"/>
              <w:rPr>
                <w:rFonts w:ascii="Times New Roman" w:hAnsi="Times New Roman"/>
              </w:rPr>
            </w:pPr>
            <w:r w:rsidRPr="00FF4E28">
              <w:rPr>
                <w:rFonts w:ascii="Times New Roman" w:hAnsi="Times New Roman"/>
                <w:sz w:val="22"/>
                <w:szCs w:val="22"/>
              </w:rPr>
              <w:t xml:space="preserve">No. of Share </w:t>
            </w:r>
          </w:p>
          <w:p w:rsidR="00DA4DD8" w:rsidRPr="00FF4E28" w:rsidRDefault="00DA4DD8" w:rsidP="007A5296">
            <w:pPr>
              <w:spacing w:after="120"/>
              <w:jc w:val="both"/>
              <w:rPr>
                <w:rFonts w:ascii="Times New Roman" w:hAnsi="Times New Roman"/>
              </w:rPr>
            </w:pPr>
            <w:r w:rsidRPr="00FF4E28">
              <w:rPr>
                <w:rFonts w:ascii="Times New Roman" w:hAnsi="Times New Roman"/>
                <w:sz w:val="22"/>
                <w:szCs w:val="22"/>
              </w:rPr>
              <w:t>(in Million)</w:t>
            </w:r>
          </w:p>
        </w:tc>
        <w:tc>
          <w:tcPr>
            <w:tcW w:w="582"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7.15</w:t>
            </w:r>
          </w:p>
        </w:tc>
        <w:tc>
          <w:tcPr>
            <w:tcW w:w="585"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8.217</w:t>
            </w:r>
          </w:p>
        </w:tc>
        <w:tc>
          <w:tcPr>
            <w:tcW w:w="585"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9.013</w:t>
            </w:r>
          </w:p>
        </w:tc>
        <w:tc>
          <w:tcPr>
            <w:tcW w:w="620"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14.793</w:t>
            </w:r>
          </w:p>
        </w:tc>
        <w:tc>
          <w:tcPr>
            <w:tcW w:w="585"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16.272</w:t>
            </w:r>
          </w:p>
        </w:tc>
        <w:tc>
          <w:tcPr>
            <w:tcW w:w="455"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w:t>
            </w:r>
          </w:p>
        </w:tc>
        <w:tc>
          <w:tcPr>
            <w:tcW w:w="391"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w:t>
            </w:r>
          </w:p>
        </w:tc>
        <w:tc>
          <w:tcPr>
            <w:tcW w:w="416"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w:t>
            </w:r>
          </w:p>
        </w:tc>
      </w:tr>
      <w:tr w:rsidR="00DA4DD8" w:rsidRPr="00FD1AA2" w:rsidTr="00FF4E28">
        <w:trPr>
          <w:jc w:val="center"/>
        </w:trPr>
        <w:tc>
          <w:tcPr>
            <w:tcW w:w="781" w:type="pct"/>
          </w:tcPr>
          <w:p w:rsidR="00DA4DD8" w:rsidRPr="00FF4E28" w:rsidRDefault="00DA4DD8" w:rsidP="007A5296">
            <w:pPr>
              <w:spacing w:after="120"/>
              <w:jc w:val="both"/>
              <w:rPr>
                <w:rFonts w:ascii="Times New Roman" w:hAnsi="Times New Roman"/>
              </w:rPr>
            </w:pPr>
            <w:r w:rsidRPr="00FF4E28">
              <w:rPr>
                <w:rFonts w:ascii="Times New Roman" w:hAnsi="Times New Roman"/>
                <w:sz w:val="22"/>
                <w:szCs w:val="22"/>
              </w:rPr>
              <w:t>Earning Per Share (Rs.)</w:t>
            </w:r>
          </w:p>
        </w:tc>
        <w:tc>
          <w:tcPr>
            <w:tcW w:w="582"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18.74</w:t>
            </w:r>
          </w:p>
        </w:tc>
        <w:tc>
          <w:tcPr>
            <w:tcW w:w="585"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9.35</w:t>
            </w:r>
          </w:p>
        </w:tc>
        <w:tc>
          <w:tcPr>
            <w:tcW w:w="585"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9.43</w:t>
            </w:r>
          </w:p>
        </w:tc>
        <w:tc>
          <w:tcPr>
            <w:tcW w:w="620"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8.33</w:t>
            </w:r>
          </w:p>
        </w:tc>
        <w:tc>
          <w:tcPr>
            <w:tcW w:w="585"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4.51</w:t>
            </w:r>
          </w:p>
        </w:tc>
        <w:tc>
          <w:tcPr>
            <w:tcW w:w="455"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10.072</w:t>
            </w:r>
          </w:p>
        </w:tc>
        <w:tc>
          <w:tcPr>
            <w:tcW w:w="391"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4.69</w:t>
            </w:r>
          </w:p>
        </w:tc>
        <w:tc>
          <w:tcPr>
            <w:tcW w:w="416" w:type="pct"/>
          </w:tcPr>
          <w:p w:rsidR="00DA4DD8" w:rsidRPr="00FF4E28" w:rsidRDefault="00DA4DD8" w:rsidP="007A5296">
            <w:pPr>
              <w:spacing w:after="120"/>
              <w:jc w:val="right"/>
              <w:rPr>
                <w:rFonts w:ascii="Times New Roman" w:hAnsi="Times New Roman"/>
              </w:rPr>
            </w:pPr>
            <w:r w:rsidRPr="00FF4E28">
              <w:rPr>
                <w:rFonts w:ascii="Times New Roman" w:hAnsi="Times New Roman"/>
                <w:sz w:val="22"/>
                <w:szCs w:val="22"/>
              </w:rPr>
              <w:t>46.59</w:t>
            </w:r>
          </w:p>
        </w:tc>
      </w:tr>
    </w:tbl>
    <w:p w:rsidR="00DA4DD8" w:rsidRPr="00024326" w:rsidRDefault="00024326" w:rsidP="00FD1AA2">
      <w:pPr>
        <w:spacing w:after="240" w:line="360" w:lineRule="auto"/>
        <w:jc w:val="both"/>
        <w:rPr>
          <w:rFonts w:ascii="Times New Roman" w:hAnsi="Times New Roman"/>
          <w:b/>
          <w:i/>
        </w:rPr>
      </w:pPr>
      <w:r w:rsidRPr="00024326">
        <w:rPr>
          <w:rFonts w:ascii="Times New Roman" w:hAnsi="Times New Roman"/>
          <w:i/>
        </w:rPr>
        <w:t>Source:</w:t>
      </w:r>
      <w:r w:rsidR="00DA4DD8" w:rsidRPr="00024326">
        <w:rPr>
          <w:rFonts w:ascii="Times New Roman" w:hAnsi="Times New Roman"/>
          <w:i/>
        </w:rPr>
        <w:t xml:space="preserve"> Annual Reports of MBL</w:t>
      </w:r>
    </w:p>
    <w:p w:rsidR="00DA4DD8" w:rsidRPr="00FD1AA2" w:rsidRDefault="00024326" w:rsidP="00FD1AA2">
      <w:pPr>
        <w:spacing w:after="240" w:line="360" w:lineRule="auto"/>
        <w:jc w:val="center"/>
        <w:rPr>
          <w:rFonts w:ascii="Times New Roman" w:hAnsi="Times New Roman"/>
        </w:rPr>
      </w:pPr>
      <w:r>
        <w:rPr>
          <w:rFonts w:ascii="Times New Roman" w:hAnsi="Times New Roman"/>
          <w:b/>
        </w:rPr>
        <w:t>Figure</w:t>
      </w:r>
      <w:r w:rsidR="00EF2A3F">
        <w:rPr>
          <w:rFonts w:ascii="Times New Roman" w:hAnsi="Times New Roman"/>
          <w:b/>
        </w:rPr>
        <w:t xml:space="preserve"> :</w:t>
      </w:r>
      <w:r w:rsidR="00DA4DD8" w:rsidRPr="00FD1AA2">
        <w:rPr>
          <w:rFonts w:ascii="Times New Roman" w:hAnsi="Times New Roman"/>
          <w:b/>
        </w:rPr>
        <w:t xml:space="preserve"> </w:t>
      </w:r>
      <w:r w:rsidR="00C115FC">
        <w:rPr>
          <w:rFonts w:ascii="Times New Roman" w:hAnsi="Times New Roman"/>
          <w:b/>
        </w:rPr>
        <w:t>4.</w:t>
      </w:r>
      <w:r w:rsidR="00DA4DD8" w:rsidRPr="00FD1AA2">
        <w:rPr>
          <w:rFonts w:ascii="Times New Roman" w:hAnsi="Times New Roman"/>
          <w:b/>
        </w:rPr>
        <w:t>10</w:t>
      </w:r>
    </w:p>
    <w:p w:rsidR="00DA4DD8" w:rsidRPr="00FD1AA2" w:rsidRDefault="00AB51C1" w:rsidP="00FD1AA2">
      <w:pPr>
        <w:spacing w:after="240" w:line="360" w:lineRule="auto"/>
        <w:jc w:val="center"/>
        <w:rPr>
          <w:rFonts w:ascii="Times New Roman" w:hAnsi="Times New Roman"/>
          <w:b/>
        </w:rPr>
      </w:pPr>
      <w:r w:rsidRPr="00AB51C1">
        <w:rPr>
          <w:rFonts w:ascii="Times New Roman" w:hAnsi="Times New Roman"/>
          <w:noProof/>
        </w:rPr>
        <w:pict>
          <v:shape id="_x0000_s1040" type="#_x0000_t202" style="position:absolute;left:0;text-align:left;margin-left:-12pt;margin-top:24.55pt;width:415.5pt;height:253.2pt;z-index:251660288" strokecolor="white">
            <v:textbox>
              <w:txbxContent>
                <w:p w:rsidR="008C0E1D" w:rsidRDefault="008C0E1D" w:rsidP="00DD78AF">
                  <w:pPr>
                    <w:jc w:val="center"/>
                  </w:pPr>
                  <w:r w:rsidRPr="00A3462D">
                    <w:rPr>
                      <w:noProof/>
                      <w:lang w:bidi="ar-SA"/>
                    </w:rPr>
                    <w:drawing>
                      <wp:inline distT="0" distB="0" distL="0" distR="0">
                        <wp:extent cx="5000625" cy="2990850"/>
                        <wp:effectExtent l="19050" t="0" r="9525" b="0"/>
                        <wp:docPr id="1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xbxContent>
            </v:textbox>
          </v:shape>
        </w:pict>
      </w:r>
      <w:r w:rsidR="00DA4DD8" w:rsidRPr="00FD1AA2">
        <w:rPr>
          <w:rFonts w:ascii="Times New Roman" w:hAnsi="Times New Roman"/>
          <w:b/>
        </w:rPr>
        <w:t xml:space="preserve">Earning Per Share (Rs.) </w:t>
      </w:r>
    </w:p>
    <w:p w:rsidR="00DA4DD8" w:rsidRPr="00FD1AA2" w:rsidRDefault="00DA4DD8" w:rsidP="00FD1AA2">
      <w:pPr>
        <w:widowControl w:val="0"/>
        <w:tabs>
          <w:tab w:val="left" w:pos="9000"/>
        </w:tabs>
        <w:spacing w:after="240" w:line="360" w:lineRule="auto"/>
        <w:jc w:val="both"/>
        <w:rPr>
          <w:rFonts w:ascii="Times New Roman" w:hAnsi="Times New Roman"/>
        </w:rPr>
      </w:pPr>
    </w:p>
    <w:p w:rsidR="00DA4DD8" w:rsidRPr="00FD1AA2" w:rsidRDefault="00DA4DD8" w:rsidP="00FD1AA2">
      <w:pPr>
        <w:widowControl w:val="0"/>
        <w:tabs>
          <w:tab w:val="left" w:pos="9000"/>
        </w:tabs>
        <w:spacing w:after="240" w:line="360" w:lineRule="auto"/>
        <w:jc w:val="both"/>
        <w:rPr>
          <w:rFonts w:ascii="Times New Roman" w:hAnsi="Times New Roman"/>
        </w:rPr>
      </w:pPr>
    </w:p>
    <w:p w:rsidR="00DA4DD8" w:rsidRPr="00FD1AA2" w:rsidRDefault="00DA4DD8" w:rsidP="00FD1AA2">
      <w:pPr>
        <w:widowControl w:val="0"/>
        <w:tabs>
          <w:tab w:val="left" w:pos="9000"/>
        </w:tabs>
        <w:spacing w:after="240" w:line="360" w:lineRule="auto"/>
        <w:jc w:val="both"/>
        <w:rPr>
          <w:rFonts w:ascii="Times New Roman" w:hAnsi="Times New Roman"/>
        </w:rPr>
      </w:pPr>
    </w:p>
    <w:p w:rsidR="00DA4DD8" w:rsidRPr="00FD1AA2" w:rsidRDefault="00DA4DD8" w:rsidP="00FD1AA2">
      <w:pPr>
        <w:widowControl w:val="0"/>
        <w:tabs>
          <w:tab w:val="left" w:pos="9000"/>
        </w:tabs>
        <w:spacing w:after="240" w:line="360" w:lineRule="auto"/>
        <w:jc w:val="both"/>
        <w:rPr>
          <w:rFonts w:ascii="Times New Roman" w:hAnsi="Times New Roman"/>
        </w:rPr>
      </w:pPr>
    </w:p>
    <w:p w:rsidR="00DA4DD8" w:rsidRPr="00FD1AA2" w:rsidRDefault="00DA4DD8" w:rsidP="00FD1AA2">
      <w:pPr>
        <w:widowControl w:val="0"/>
        <w:tabs>
          <w:tab w:val="left" w:pos="9000"/>
        </w:tabs>
        <w:spacing w:after="240" w:line="360" w:lineRule="auto"/>
        <w:jc w:val="both"/>
        <w:rPr>
          <w:rFonts w:ascii="Times New Roman" w:hAnsi="Times New Roman"/>
        </w:rPr>
      </w:pPr>
    </w:p>
    <w:p w:rsidR="00DA4DD8" w:rsidRDefault="00DA4DD8" w:rsidP="00FD1AA2">
      <w:pPr>
        <w:widowControl w:val="0"/>
        <w:tabs>
          <w:tab w:val="left" w:pos="9000"/>
        </w:tabs>
        <w:spacing w:after="240" w:line="360" w:lineRule="auto"/>
        <w:jc w:val="both"/>
        <w:rPr>
          <w:rFonts w:ascii="Times New Roman" w:hAnsi="Times New Roman"/>
        </w:rPr>
      </w:pPr>
    </w:p>
    <w:p w:rsidR="00F92F47" w:rsidRDefault="00F92F47" w:rsidP="00FD1AA2">
      <w:pPr>
        <w:widowControl w:val="0"/>
        <w:tabs>
          <w:tab w:val="left" w:pos="9000"/>
        </w:tabs>
        <w:spacing w:after="240" w:line="360" w:lineRule="auto"/>
        <w:jc w:val="both"/>
        <w:rPr>
          <w:rFonts w:ascii="Times New Roman" w:hAnsi="Times New Roman"/>
        </w:rPr>
      </w:pPr>
    </w:p>
    <w:p w:rsidR="00F92F47" w:rsidRPr="00FD1AA2" w:rsidRDefault="00F92F47" w:rsidP="00FD1AA2">
      <w:pPr>
        <w:widowControl w:val="0"/>
        <w:tabs>
          <w:tab w:val="left" w:pos="9000"/>
        </w:tabs>
        <w:spacing w:after="240" w:line="360" w:lineRule="auto"/>
        <w:jc w:val="both"/>
        <w:rPr>
          <w:rFonts w:ascii="Times New Roman" w:hAnsi="Times New Roman"/>
        </w:rPr>
      </w:pPr>
    </w:p>
    <w:p w:rsidR="00DA4DD8" w:rsidRPr="00FD1AA2" w:rsidRDefault="00DA4DD8" w:rsidP="00FD1AA2">
      <w:pPr>
        <w:widowControl w:val="0"/>
        <w:tabs>
          <w:tab w:val="left" w:pos="9000"/>
        </w:tabs>
        <w:spacing w:after="240" w:line="360" w:lineRule="auto"/>
        <w:jc w:val="both"/>
        <w:rPr>
          <w:rFonts w:ascii="Times New Roman" w:hAnsi="Times New Roman"/>
        </w:rPr>
      </w:pPr>
      <w:r w:rsidRPr="00FD1AA2">
        <w:rPr>
          <w:rFonts w:ascii="Times New Roman" w:hAnsi="Times New Roman"/>
        </w:rPr>
        <w:t xml:space="preserve">In above table and figure 4.10 shows EPS of MBL for the study period Rs 18.74, Rs 9.35, Rs 9.43, Rs 8.33 &amp; Rs 4.51 in FY 2062/063 to FY 2066/067 respectively. Earning per share of MBL was maximum with Rs 18.74 at FY 2062/063 &amp; minimum with Rs 4.51 at FY 2066/067. EPS of MBL is in decreasing trend throughout the study period EPS shows decreasing trend up to FY 2063/064 then it slightly increase in FY 2064/065 with Rs 9.43. Thereafter the EPS is in decreasing trend till FY </w:t>
      </w:r>
      <w:r w:rsidRPr="00FD1AA2">
        <w:rPr>
          <w:rFonts w:ascii="Times New Roman" w:hAnsi="Times New Roman"/>
        </w:rPr>
        <w:lastRenderedPageBreak/>
        <w:t xml:space="preserve">2066/067. The mean average of EPS is 10.07%, standard deviation is 4.69% </w:t>
      </w:r>
      <w:r w:rsidR="00BD16E0" w:rsidRPr="00FD1AA2">
        <w:rPr>
          <w:rFonts w:ascii="Times New Roman" w:hAnsi="Times New Roman"/>
        </w:rPr>
        <w:t>and coefficient</w:t>
      </w:r>
      <w:r w:rsidRPr="00FD1AA2">
        <w:rPr>
          <w:rFonts w:ascii="Times New Roman" w:hAnsi="Times New Roman"/>
        </w:rPr>
        <w:t xml:space="preserve"> for variation is 46.56.</w:t>
      </w:r>
    </w:p>
    <w:p w:rsidR="00DA4DD8" w:rsidRPr="00DD78AF" w:rsidRDefault="00DA4DD8" w:rsidP="00FD1AA2">
      <w:pPr>
        <w:widowControl w:val="0"/>
        <w:spacing w:after="240" w:line="360" w:lineRule="auto"/>
        <w:jc w:val="both"/>
        <w:rPr>
          <w:rFonts w:ascii="Times New Roman" w:hAnsi="Times New Roman"/>
          <w:b/>
          <w:sz w:val="28"/>
        </w:rPr>
      </w:pPr>
      <w:r w:rsidRPr="00DD78AF">
        <w:rPr>
          <w:rFonts w:ascii="Times New Roman" w:hAnsi="Times New Roman"/>
          <w:b/>
          <w:sz w:val="28"/>
        </w:rPr>
        <w:t>4.5</w:t>
      </w:r>
      <w:r w:rsidRPr="00DD78AF">
        <w:rPr>
          <w:rFonts w:ascii="Times New Roman" w:hAnsi="Times New Roman"/>
          <w:b/>
          <w:sz w:val="28"/>
        </w:rPr>
        <w:tab/>
        <w:t xml:space="preserve">Liquidity </w:t>
      </w:r>
    </w:p>
    <w:p w:rsidR="00DA4DD8" w:rsidRPr="00FD1AA2" w:rsidRDefault="00622B95" w:rsidP="00FD1AA2">
      <w:pPr>
        <w:widowControl w:val="0"/>
        <w:spacing w:after="240" w:line="360" w:lineRule="auto"/>
        <w:jc w:val="both"/>
        <w:rPr>
          <w:rFonts w:ascii="Times New Roman" w:hAnsi="Times New Roman"/>
        </w:rPr>
      </w:pPr>
      <w:r>
        <w:rPr>
          <w:rFonts w:ascii="Times New Roman" w:hAnsi="Times New Roman"/>
        </w:rPr>
        <w:t xml:space="preserve">Liquidity is the bank's ability to maintain cash which is adequate to fulfill cash demand for loan and deposit withdrawal. Keeping cash idle or maintaining high liquidity position has adverse effect on profitability of the bank. On the other hand, low liquidity position cannot support bank to meet expected and unexpected financial demand which result in higher liquidity cost, lowering trust of depositor creditors and negative impact on good will of the bank. </w:t>
      </w:r>
      <w:r w:rsidR="00DA4DD8" w:rsidRPr="00FD1AA2">
        <w:rPr>
          <w:rFonts w:ascii="Times New Roman" w:hAnsi="Times New Roman"/>
        </w:rPr>
        <w:t>The level of liquidity influences the ability of a banking system to withstand shocks. Liquidity risk arises when CBs liability holder like depositor demand immediate cash for the financial claim they hold with financial institutions. Thus, bank should have sound liquidity position to meet the requirement.</w:t>
      </w:r>
    </w:p>
    <w:p w:rsidR="00DA4DD8" w:rsidRPr="00FD1AA2" w:rsidRDefault="00DA4DD8" w:rsidP="00FD1AA2">
      <w:pPr>
        <w:widowControl w:val="0"/>
        <w:spacing w:after="240" w:line="360" w:lineRule="auto"/>
        <w:jc w:val="both"/>
        <w:rPr>
          <w:rFonts w:ascii="Times New Roman" w:hAnsi="Times New Roman"/>
          <w:b/>
        </w:rPr>
      </w:pPr>
      <w:r w:rsidRPr="00FD1AA2">
        <w:rPr>
          <w:rFonts w:ascii="Times New Roman" w:hAnsi="Times New Roman"/>
          <w:b/>
        </w:rPr>
        <w:t>4.5.1</w:t>
      </w:r>
      <w:r w:rsidRPr="00FD1AA2">
        <w:rPr>
          <w:rFonts w:ascii="Times New Roman" w:hAnsi="Times New Roman"/>
          <w:b/>
        </w:rPr>
        <w:tab/>
        <w:t xml:space="preserve">NRB Balance to Total Deposit Ratio </w:t>
      </w:r>
    </w:p>
    <w:p w:rsidR="00DA4DD8" w:rsidRPr="00FD1AA2" w:rsidRDefault="00DA4DD8" w:rsidP="00FD1AA2">
      <w:pPr>
        <w:widowControl w:val="0"/>
        <w:spacing w:after="240" w:line="360" w:lineRule="auto"/>
        <w:jc w:val="both"/>
        <w:rPr>
          <w:rFonts w:ascii="Times New Roman" w:hAnsi="Times New Roman"/>
        </w:rPr>
      </w:pPr>
      <w:r w:rsidRPr="00FD1AA2">
        <w:rPr>
          <w:rFonts w:ascii="Times New Roman" w:hAnsi="Times New Roman"/>
        </w:rPr>
        <w:t xml:space="preserve">NRB balance to total deposit is the ratio of cash balance with NRB to total deposit. It shows whether the bank is maintaining the appropriate balance at NRB or not. To ensure adequate liquidity in the commercial banks, to meet the depositors demand for cash at any time, to inject the confidence in depositors regarding the safety of their deposited fund. Total deposit means current, saving and fixed account as well as call account deposit and certificate of deposits. The following table shows the NRB balance to total deposit ratio. </w:t>
      </w:r>
    </w:p>
    <w:p w:rsidR="00DA4DD8" w:rsidRPr="00FD1AA2" w:rsidRDefault="00DA4DD8" w:rsidP="00FD1AA2">
      <w:pPr>
        <w:widowControl w:val="0"/>
        <w:spacing w:after="240" w:line="360" w:lineRule="auto"/>
        <w:jc w:val="center"/>
        <w:rPr>
          <w:rFonts w:ascii="Times New Roman" w:hAnsi="Times New Roman"/>
          <w:b/>
        </w:rPr>
      </w:pPr>
      <w:r w:rsidRPr="00FD1AA2">
        <w:rPr>
          <w:rFonts w:ascii="Times New Roman" w:hAnsi="Times New Roman"/>
          <w:b/>
        </w:rPr>
        <w:t xml:space="preserve">Table </w:t>
      </w:r>
      <w:r w:rsidR="00DD78AF">
        <w:rPr>
          <w:rFonts w:ascii="Times New Roman" w:hAnsi="Times New Roman"/>
          <w:b/>
        </w:rPr>
        <w:t xml:space="preserve">: </w:t>
      </w:r>
      <w:r w:rsidRPr="00FD1AA2">
        <w:rPr>
          <w:rFonts w:ascii="Times New Roman" w:hAnsi="Times New Roman"/>
          <w:b/>
        </w:rPr>
        <w:t>4.11</w:t>
      </w:r>
    </w:p>
    <w:p w:rsidR="00DA4DD8" w:rsidRPr="00FD1AA2" w:rsidRDefault="00DA4DD8" w:rsidP="00FD1AA2">
      <w:pPr>
        <w:widowControl w:val="0"/>
        <w:spacing w:after="240" w:line="360" w:lineRule="auto"/>
        <w:jc w:val="center"/>
        <w:rPr>
          <w:rFonts w:ascii="Times New Roman" w:hAnsi="Times New Roman"/>
          <w:b/>
        </w:rPr>
      </w:pPr>
      <w:r w:rsidRPr="00FD1AA2">
        <w:rPr>
          <w:rFonts w:ascii="Times New Roman" w:hAnsi="Times New Roman"/>
          <w:b/>
        </w:rPr>
        <w:t xml:space="preserve">NRB Balance to Total Deposit Ratio </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11"/>
        <w:gridCol w:w="991"/>
        <w:gridCol w:w="972"/>
        <w:gridCol w:w="1086"/>
        <w:gridCol w:w="1066"/>
        <w:gridCol w:w="1066"/>
        <w:gridCol w:w="672"/>
        <w:gridCol w:w="595"/>
        <w:gridCol w:w="666"/>
      </w:tblGrid>
      <w:tr w:rsidR="00DA4DD8" w:rsidRPr="00FD1AA2" w:rsidTr="009C70B0">
        <w:trPr>
          <w:jc w:val="center"/>
        </w:trPr>
        <w:tc>
          <w:tcPr>
            <w:tcW w:w="858" w:type="pct"/>
          </w:tcPr>
          <w:p w:rsidR="00DA4DD8" w:rsidRPr="00FD1AA2" w:rsidRDefault="00DA4DD8" w:rsidP="009C70B0">
            <w:pPr>
              <w:jc w:val="center"/>
              <w:rPr>
                <w:rFonts w:ascii="Times New Roman" w:hAnsi="Times New Roman"/>
                <w:b/>
                <w:sz w:val="20"/>
              </w:rPr>
            </w:pPr>
            <w:r w:rsidRPr="00FD1AA2">
              <w:rPr>
                <w:rFonts w:ascii="Times New Roman" w:hAnsi="Times New Roman"/>
                <w:b/>
                <w:sz w:val="20"/>
              </w:rPr>
              <w:t>Fiscal Year</w:t>
            </w:r>
          </w:p>
        </w:tc>
        <w:tc>
          <w:tcPr>
            <w:tcW w:w="611" w:type="pct"/>
          </w:tcPr>
          <w:p w:rsidR="00DA4DD8" w:rsidRPr="00FD1AA2" w:rsidRDefault="00DA4DD8" w:rsidP="009C70B0">
            <w:pPr>
              <w:jc w:val="center"/>
              <w:rPr>
                <w:rFonts w:ascii="Times New Roman" w:hAnsi="Times New Roman"/>
                <w:sz w:val="20"/>
              </w:rPr>
            </w:pPr>
            <w:r w:rsidRPr="00FD1AA2">
              <w:rPr>
                <w:rFonts w:ascii="Times New Roman" w:hAnsi="Times New Roman"/>
                <w:sz w:val="20"/>
              </w:rPr>
              <w:t>2062/063</w:t>
            </w:r>
          </w:p>
        </w:tc>
        <w:tc>
          <w:tcPr>
            <w:tcW w:w="504" w:type="pct"/>
          </w:tcPr>
          <w:p w:rsidR="00DA4DD8" w:rsidRPr="00FD1AA2" w:rsidRDefault="00DA4DD8" w:rsidP="009C70B0">
            <w:pPr>
              <w:jc w:val="center"/>
              <w:rPr>
                <w:rFonts w:ascii="Times New Roman" w:hAnsi="Times New Roman"/>
                <w:sz w:val="20"/>
              </w:rPr>
            </w:pPr>
            <w:r w:rsidRPr="00FD1AA2">
              <w:rPr>
                <w:rFonts w:ascii="Times New Roman" w:hAnsi="Times New Roman"/>
                <w:sz w:val="20"/>
              </w:rPr>
              <w:t>2063/064</w:t>
            </w:r>
          </w:p>
        </w:tc>
        <w:tc>
          <w:tcPr>
            <w:tcW w:w="667" w:type="pct"/>
          </w:tcPr>
          <w:p w:rsidR="00DA4DD8" w:rsidRPr="00FD1AA2" w:rsidRDefault="00DA4DD8" w:rsidP="009C70B0">
            <w:pPr>
              <w:jc w:val="center"/>
              <w:rPr>
                <w:rFonts w:ascii="Times New Roman" w:hAnsi="Times New Roman"/>
                <w:sz w:val="20"/>
              </w:rPr>
            </w:pPr>
            <w:r w:rsidRPr="00FD1AA2">
              <w:rPr>
                <w:rFonts w:ascii="Times New Roman" w:hAnsi="Times New Roman"/>
                <w:sz w:val="20"/>
              </w:rPr>
              <w:t>2064/065</w:t>
            </w:r>
          </w:p>
        </w:tc>
        <w:tc>
          <w:tcPr>
            <w:tcW w:w="624" w:type="pct"/>
          </w:tcPr>
          <w:p w:rsidR="00DA4DD8" w:rsidRPr="00FD1AA2" w:rsidRDefault="00DA4DD8" w:rsidP="009C70B0">
            <w:pPr>
              <w:jc w:val="center"/>
              <w:rPr>
                <w:rFonts w:ascii="Times New Roman" w:hAnsi="Times New Roman"/>
                <w:sz w:val="20"/>
              </w:rPr>
            </w:pPr>
            <w:r w:rsidRPr="00FD1AA2">
              <w:rPr>
                <w:rFonts w:ascii="Times New Roman" w:hAnsi="Times New Roman"/>
                <w:sz w:val="20"/>
              </w:rPr>
              <w:t>2065/066</w:t>
            </w:r>
          </w:p>
        </w:tc>
        <w:tc>
          <w:tcPr>
            <w:tcW w:w="579" w:type="pct"/>
          </w:tcPr>
          <w:p w:rsidR="00DA4DD8" w:rsidRPr="00FD1AA2" w:rsidRDefault="00DA4DD8" w:rsidP="009C70B0">
            <w:pPr>
              <w:jc w:val="center"/>
              <w:rPr>
                <w:rFonts w:ascii="Times New Roman" w:hAnsi="Times New Roman"/>
                <w:sz w:val="20"/>
              </w:rPr>
            </w:pPr>
            <w:r w:rsidRPr="00FD1AA2">
              <w:rPr>
                <w:rFonts w:ascii="Times New Roman" w:hAnsi="Times New Roman"/>
                <w:sz w:val="20"/>
              </w:rPr>
              <w:t>2066/067</w:t>
            </w:r>
          </w:p>
        </w:tc>
        <w:tc>
          <w:tcPr>
            <w:tcW w:w="402" w:type="pct"/>
          </w:tcPr>
          <w:p w:rsidR="00DA4DD8" w:rsidRPr="00FD1AA2" w:rsidRDefault="00DA4DD8" w:rsidP="009C70B0">
            <w:pPr>
              <w:jc w:val="center"/>
              <w:rPr>
                <w:rFonts w:ascii="Times New Roman" w:hAnsi="Times New Roman"/>
                <w:sz w:val="20"/>
              </w:rPr>
            </w:pPr>
            <w:r w:rsidRPr="00FD1AA2">
              <w:rPr>
                <w:rFonts w:ascii="Times New Roman" w:hAnsi="Times New Roman"/>
                <w:sz w:val="20"/>
              </w:rPr>
              <w:t xml:space="preserve">Mean </w:t>
            </w:r>
          </w:p>
        </w:tc>
        <w:tc>
          <w:tcPr>
            <w:tcW w:w="401" w:type="pct"/>
          </w:tcPr>
          <w:p w:rsidR="00DA4DD8" w:rsidRPr="00FD1AA2" w:rsidRDefault="00DA4DD8" w:rsidP="009C70B0">
            <w:pPr>
              <w:jc w:val="center"/>
              <w:rPr>
                <w:rFonts w:ascii="Times New Roman" w:hAnsi="Times New Roman"/>
                <w:sz w:val="20"/>
              </w:rPr>
            </w:pPr>
            <w:r w:rsidRPr="00FD1AA2">
              <w:rPr>
                <w:rFonts w:ascii="Times New Roman" w:hAnsi="Times New Roman"/>
                <w:sz w:val="20"/>
              </w:rPr>
              <w:t>S.D</w:t>
            </w:r>
          </w:p>
        </w:tc>
        <w:tc>
          <w:tcPr>
            <w:tcW w:w="355" w:type="pct"/>
          </w:tcPr>
          <w:p w:rsidR="00DA4DD8" w:rsidRPr="00FD1AA2" w:rsidRDefault="00DA4DD8" w:rsidP="009C70B0">
            <w:pPr>
              <w:jc w:val="center"/>
              <w:rPr>
                <w:rFonts w:ascii="Times New Roman" w:hAnsi="Times New Roman"/>
                <w:sz w:val="20"/>
              </w:rPr>
            </w:pPr>
            <w:r w:rsidRPr="00FD1AA2">
              <w:rPr>
                <w:rFonts w:ascii="Times New Roman" w:hAnsi="Times New Roman"/>
                <w:sz w:val="20"/>
              </w:rPr>
              <w:t>CV</w:t>
            </w:r>
          </w:p>
        </w:tc>
      </w:tr>
      <w:tr w:rsidR="00DA4DD8" w:rsidRPr="00FD1AA2" w:rsidTr="009C70B0">
        <w:trPr>
          <w:jc w:val="center"/>
        </w:trPr>
        <w:tc>
          <w:tcPr>
            <w:tcW w:w="858" w:type="pct"/>
          </w:tcPr>
          <w:p w:rsidR="00DA4DD8" w:rsidRPr="00FD1AA2" w:rsidRDefault="00DA4DD8" w:rsidP="009C70B0">
            <w:pPr>
              <w:rPr>
                <w:rFonts w:ascii="Times New Roman" w:hAnsi="Times New Roman"/>
                <w:sz w:val="20"/>
              </w:rPr>
            </w:pPr>
            <w:r w:rsidRPr="00FD1AA2">
              <w:rPr>
                <w:rFonts w:ascii="Times New Roman" w:hAnsi="Times New Roman"/>
                <w:sz w:val="20"/>
              </w:rPr>
              <w:t xml:space="preserve">Balance at NRB </w:t>
            </w:r>
          </w:p>
          <w:p w:rsidR="00DA4DD8" w:rsidRPr="00FD1AA2" w:rsidRDefault="00DA4DD8" w:rsidP="009C70B0">
            <w:pPr>
              <w:jc w:val="both"/>
              <w:rPr>
                <w:rFonts w:ascii="Times New Roman" w:hAnsi="Times New Roman"/>
                <w:sz w:val="20"/>
              </w:rPr>
            </w:pPr>
            <w:r w:rsidRPr="00FD1AA2">
              <w:rPr>
                <w:rFonts w:ascii="Times New Roman" w:hAnsi="Times New Roman"/>
                <w:sz w:val="20"/>
              </w:rPr>
              <w:t xml:space="preserve">(in million) </w:t>
            </w:r>
          </w:p>
        </w:tc>
        <w:tc>
          <w:tcPr>
            <w:tcW w:w="611"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489.091</w:t>
            </w:r>
          </w:p>
        </w:tc>
        <w:tc>
          <w:tcPr>
            <w:tcW w:w="504"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785.689</w:t>
            </w:r>
          </w:p>
        </w:tc>
        <w:tc>
          <w:tcPr>
            <w:tcW w:w="667"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893.295</w:t>
            </w:r>
          </w:p>
        </w:tc>
        <w:tc>
          <w:tcPr>
            <w:tcW w:w="624"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1755.982</w:t>
            </w:r>
          </w:p>
        </w:tc>
        <w:tc>
          <w:tcPr>
            <w:tcW w:w="579"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1094.664</w:t>
            </w:r>
          </w:p>
        </w:tc>
        <w:tc>
          <w:tcPr>
            <w:tcW w:w="402"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w:t>
            </w:r>
          </w:p>
        </w:tc>
        <w:tc>
          <w:tcPr>
            <w:tcW w:w="401"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w:t>
            </w:r>
          </w:p>
        </w:tc>
        <w:tc>
          <w:tcPr>
            <w:tcW w:w="355"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w:t>
            </w:r>
          </w:p>
        </w:tc>
      </w:tr>
      <w:tr w:rsidR="00DA4DD8" w:rsidRPr="00FD1AA2" w:rsidTr="009C70B0">
        <w:trPr>
          <w:jc w:val="center"/>
        </w:trPr>
        <w:tc>
          <w:tcPr>
            <w:tcW w:w="858" w:type="pct"/>
          </w:tcPr>
          <w:p w:rsidR="00DA4DD8" w:rsidRPr="00FD1AA2" w:rsidRDefault="00DA4DD8" w:rsidP="009C70B0">
            <w:pPr>
              <w:jc w:val="both"/>
              <w:rPr>
                <w:rFonts w:ascii="Times New Roman" w:hAnsi="Times New Roman"/>
                <w:sz w:val="20"/>
              </w:rPr>
            </w:pPr>
            <w:r w:rsidRPr="00FD1AA2">
              <w:rPr>
                <w:rFonts w:ascii="Times New Roman" w:hAnsi="Times New Roman"/>
                <w:sz w:val="20"/>
              </w:rPr>
              <w:t xml:space="preserve">Total Deposits </w:t>
            </w:r>
          </w:p>
          <w:p w:rsidR="00DA4DD8" w:rsidRPr="00FD1AA2" w:rsidRDefault="00DA4DD8" w:rsidP="009C70B0">
            <w:pPr>
              <w:jc w:val="both"/>
              <w:rPr>
                <w:rFonts w:ascii="Times New Roman" w:hAnsi="Times New Roman"/>
                <w:sz w:val="20"/>
              </w:rPr>
            </w:pPr>
            <w:r w:rsidRPr="00FD1AA2">
              <w:rPr>
                <w:rFonts w:ascii="Times New Roman" w:hAnsi="Times New Roman"/>
                <w:sz w:val="20"/>
              </w:rPr>
              <w:t xml:space="preserve">(in million) </w:t>
            </w:r>
          </w:p>
        </w:tc>
        <w:tc>
          <w:tcPr>
            <w:tcW w:w="611"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7893.298</w:t>
            </w:r>
          </w:p>
        </w:tc>
        <w:tc>
          <w:tcPr>
            <w:tcW w:w="504"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9475.451</w:t>
            </w:r>
          </w:p>
        </w:tc>
        <w:tc>
          <w:tcPr>
            <w:tcW w:w="667"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11102.242</w:t>
            </w:r>
          </w:p>
        </w:tc>
        <w:tc>
          <w:tcPr>
            <w:tcW w:w="624"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15596.791</w:t>
            </w:r>
          </w:p>
        </w:tc>
        <w:tc>
          <w:tcPr>
            <w:tcW w:w="579"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18535.917</w:t>
            </w:r>
          </w:p>
        </w:tc>
        <w:tc>
          <w:tcPr>
            <w:tcW w:w="402"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w:t>
            </w:r>
          </w:p>
        </w:tc>
        <w:tc>
          <w:tcPr>
            <w:tcW w:w="401"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w:t>
            </w:r>
          </w:p>
        </w:tc>
        <w:tc>
          <w:tcPr>
            <w:tcW w:w="355"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w:t>
            </w:r>
          </w:p>
        </w:tc>
      </w:tr>
      <w:tr w:rsidR="00DA4DD8" w:rsidRPr="00FD1AA2" w:rsidTr="009C70B0">
        <w:trPr>
          <w:jc w:val="center"/>
        </w:trPr>
        <w:tc>
          <w:tcPr>
            <w:tcW w:w="858" w:type="pct"/>
          </w:tcPr>
          <w:p w:rsidR="00DA4DD8" w:rsidRPr="00FD1AA2" w:rsidRDefault="00DA4DD8" w:rsidP="009C70B0">
            <w:pPr>
              <w:jc w:val="both"/>
              <w:rPr>
                <w:rFonts w:ascii="Times New Roman" w:hAnsi="Times New Roman"/>
                <w:sz w:val="20"/>
              </w:rPr>
            </w:pPr>
            <w:r w:rsidRPr="00FD1AA2">
              <w:rPr>
                <w:rFonts w:ascii="Times New Roman" w:hAnsi="Times New Roman"/>
                <w:sz w:val="20"/>
              </w:rPr>
              <w:t>NRB Balance to deposit (%)</w:t>
            </w:r>
          </w:p>
        </w:tc>
        <w:tc>
          <w:tcPr>
            <w:tcW w:w="611"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6.2</w:t>
            </w:r>
          </w:p>
        </w:tc>
        <w:tc>
          <w:tcPr>
            <w:tcW w:w="504"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8.29</w:t>
            </w:r>
          </w:p>
        </w:tc>
        <w:tc>
          <w:tcPr>
            <w:tcW w:w="667"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8.05</w:t>
            </w:r>
          </w:p>
        </w:tc>
        <w:tc>
          <w:tcPr>
            <w:tcW w:w="624"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11.25</w:t>
            </w:r>
          </w:p>
        </w:tc>
        <w:tc>
          <w:tcPr>
            <w:tcW w:w="579"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5.91</w:t>
            </w:r>
          </w:p>
        </w:tc>
        <w:tc>
          <w:tcPr>
            <w:tcW w:w="402"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7.94</w:t>
            </w:r>
          </w:p>
        </w:tc>
        <w:tc>
          <w:tcPr>
            <w:tcW w:w="401"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1.91</w:t>
            </w:r>
          </w:p>
        </w:tc>
        <w:tc>
          <w:tcPr>
            <w:tcW w:w="355" w:type="pct"/>
          </w:tcPr>
          <w:p w:rsidR="00DA4DD8" w:rsidRPr="00FD1AA2" w:rsidRDefault="00DA4DD8" w:rsidP="009C70B0">
            <w:pPr>
              <w:jc w:val="right"/>
              <w:rPr>
                <w:rFonts w:ascii="Times New Roman" w:hAnsi="Times New Roman"/>
                <w:sz w:val="20"/>
              </w:rPr>
            </w:pPr>
            <w:r w:rsidRPr="00FD1AA2">
              <w:rPr>
                <w:rFonts w:ascii="Times New Roman" w:hAnsi="Times New Roman"/>
                <w:sz w:val="20"/>
              </w:rPr>
              <w:t>24.05</w:t>
            </w:r>
          </w:p>
        </w:tc>
      </w:tr>
    </w:tbl>
    <w:p w:rsidR="00DA4DD8" w:rsidRPr="00DD78AF" w:rsidRDefault="00DA4DD8" w:rsidP="00FD1AA2">
      <w:pPr>
        <w:spacing w:after="240" w:line="360" w:lineRule="auto"/>
        <w:jc w:val="both"/>
        <w:rPr>
          <w:rFonts w:ascii="Times New Roman" w:hAnsi="Times New Roman"/>
          <w:i/>
        </w:rPr>
      </w:pPr>
      <w:r w:rsidRPr="00DD78AF">
        <w:rPr>
          <w:rFonts w:ascii="Times New Roman" w:hAnsi="Times New Roman"/>
          <w:i/>
        </w:rPr>
        <w:t>Source : Annual Reports of MBL</w:t>
      </w:r>
    </w:p>
    <w:p w:rsidR="00DA4DD8" w:rsidRPr="00FD1AA2" w:rsidRDefault="00707FA9" w:rsidP="00FD1AA2">
      <w:pPr>
        <w:widowControl w:val="0"/>
        <w:spacing w:after="240" w:line="360" w:lineRule="auto"/>
        <w:jc w:val="center"/>
        <w:rPr>
          <w:rFonts w:ascii="Times New Roman" w:hAnsi="Times New Roman"/>
          <w:b/>
        </w:rPr>
      </w:pPr>
      <w:r>
        <w:rPr>
          <w:rFonts w:ascii="Times New Roman" w:hAnsi="Times New Roman"/>
          <w:b/>
        </w:rPr>
        <w:lastRenderedPageBreak/>
        <w:t>Figure</w:t>
      </w:r>
      <w:r w:rsidR="00FD5D64">
        <w:rPr>
          <w:rFonts w:ascii="Times New Roman" w:hAnsi="Times New Roman"/>
          <w:b/>
        </w:rPr>
        <w:t xml:space="preserve"> :</w:t>
      </w:r>
      <w:r w:rsidR="00DA4DD8" w:rsidRPr="00FD1AA2">
        <w:rPr>
          <w:rFonts w:ascii="Times New Roman" w:hAnsi="Times New Roman"/>
          <w:b/>
        </w:rPr>
        <w:t xml:space="preserve"> 4.11</w:t>
      </w:r>
    </w:p>
    <w:p w:rsidR="00DA4DD8" w:rsidRPr="00FD1AA2" w:rsidRDefault="00DA4DD8" w:rsidP="00FD1AA2">
      <w:pPr>
        <w:widowControl w:val="0"/>
        <w:spacing w:after="240" w:line="360" w:lineRule="auto"/>
        <w:jc w:val="center"/>
        <w:rPr>
          <w:rFonts w:ascii="Times New Roman" w:hAnsi="Times New Roman"/>
          <w:b/>
        </w:rPr>
      </w:pPr>
      <w:r w:rsidRPr="00FD1AA2">
        <w:rPr>
          <w:rFonts w:ascii="Times New Roman" w:hAnsi="Times New Roman"/>
          <w:b/>
        </w:rPr>
        <w:t xml:space="preserve">NRB Balance to Total Deposit Ratio </w:t>
      </w:r>
    </w:p>
    <w:p w:rsidR="00DA4DD8" w:rsidRPr="00FD1AA2" w:rsidRDefault="009A308E" w:rsidP="00FD1AA2">
      <w:pPr>
        <w:widowControl w:val="0"/>
        <w:spacing w:after="240" w:line="360" w:lineRule="auto"/>
        <w:jc w:val="center"/>
        <w:rPr>
          <w:rFonts w:ascii="Times New Roman" w:hAnsi="Times New Roman"/>
          <w:b/>
        </w:rPr>
      </w:pPr>
      <w:r>
        <w:rPr>
          <w:rFonts w:ascii="Times New Roman" w:hAnsi="Times New Roman"/>
          <w:b/>
          <w:noProof/>
          <w:lang w:bidi="ar-SA"/>
        </w:rPr>
        <w:drawing>
          <wp:inline distT="0" distB="0" distL="0" distR="0">
            <wp:extent cx="5050570" cy="2777683"/>
            <wp:effectExtent l="12192" t="6096" r="14063" b="7046"/>
            <wp:docPr id="39"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A4DD8" w:rsidRPr="00FD1AA2" w:rsidRDefault="00DA4DD8" w:rsidP="00FD1AA2">
      <w:pPr>
        <w:widowControl w:val="0"/>
        <w:spacing w:after="240" w:line="360" w:lineRule="auto"/>
        <w:jc w:val="both"/>
        <w:rPr>
          <w:rFonts w:ascii="Times New Roman" w:hAnsi="Times New Roman"/>
        </w:rPr>
      </w:pPr>
      <w:r w:rsidRPr="00FD1AA2">
        <w:rPr>
          <w:rFonts w:ascii="Times New Roman" w:hAnsi="Times New Roman"/>
        </w:rPr>
        <w:t xml:space="preserve">The above table and figure 4.11 show NRB balance to total deposit ratio of MBL for the study period 6.2%, 8.29%, 8.05%, 11.25%, 5.91% in FY 2062/063 to FY 2066/067 respectively. The ratio is maximum in F.Y. 2065/066 with 11.25% &amp; minimum in 2066/067 with 5.91%. NRB balance to total deposit ratio is fluctuating during the study period. The ratio has increased till F.Y. 2065/066 and then decreased in F.Y. 2066/067. The mean average of NRB balance to total deposit ratio is 7.94%, standard deviation is 1.91% &amp; coefficient variation is 24.05%. </w:t>
      </w:r>
    </w:p>
    <w:p w:rsidR="00DA4DD8" w:rsidRPr="00707FA9" w:rsidRDefault="00DA4DD8" w:rsidP="00FD1AA2">
      <w:pPr>
        <w:widowControl w:val="0"/>
        <w:spacing w:after="240" w:line="360" w:lineRule="auto"/>
        <w:jc w:val="both"/>
        <w:rPr>
          <w:rFonts w:ascii="Times New Roman" w:hAnsi="Times New Roman"/>
          <w:b/>
          <w:sz w:val="28"/>
        </w:rPr>
      </w:pPr>
      <w:r w:rsidRPr="00707FA9">
        <w:rPr>
          <w:rFonts w:ascii="Times New Roman" w:hAnsi="Times New Roman"/>
          <w:b/>
          <w:sz w:val="28"/>
        </w:rPr>
        <w:t>4.5.2</w:t>
      </w:r>
      <w:r w:rsidRPr="00707FA9">
        <w:rPr>
          <w:rFonts w:ascii="Times New Roman" w:hAnsi="Times New Roman"/>
          <w:b/>
          <w:sz w:val="28"/>
        </w:rPr>
        <w:tab/>
        <w:t xml:space="preserve">Cash and Bank Balance </w:t>
      </w:r>
    </w:p>
    <w:p w:rsidR="00DA4DD8" w:rsidRPr="00FD1AA2" w:rsidRDefault="00DA4DD8" w:rsidP="00FD1AA2">
      <w:pPr>
        <w:widowControl w:val="0"/>
        <w:tabs>
          <w:tab w:val="left" w:pos="9000"/>
        </w:tabs>
        <w:spacing w:after="240" w:line="360" w:lineRule="auto"/>
        <w:jc w:val="both"/>
        <w:rPr>
          <w:rFonts w:ascii="Times New Roman" w:hAnsi="Times New Roman"/>
        </w:rPr>
      </w:pPr>
      <w:r w:rsidRPr="00FD1AA2">
        <w:rPr>
          <w:rFonts w:ascii="Times New Roman" w:hAnsi="Times New Roman"/>
        </w:rPr>
        <w:t>The ratio measures the bank’s ability to meet immediate obligation. So, balance should maintain in order to meet their paying obligation. Further, this ratio is employed to measures whether banks cash balance is sufficient to cover unexpected demand made by the depositors.</w:t>
      </w:r>
    </w:p>
    <w:p w:rsidR="00DA4DD8" w:rsidRPr="00FD1AA2" w:rsidRDefault="00DA4DD8" w:rsidP="00FD1AA2">
      <w:pPr>
        <w:spacing w:after="240" w:line="360" w:lineRule="auto"/>
        <w:rPr>
          <w:rFonts w:ascii="Times New Roman" w:hAnsi="Times New Roman"/>
        </w:rPr>
      </w:pPr>
      <w:r w:rsidRPr="00FD1AA2">
        <w:rPr>
          <w:rFonts w:ascii="Times New Roman" w:hAnsi="Times New Roman"/>
        </w:rPr>
        <w:br w:type="page"/>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lastRenderedPageBreak/>
        <w:t>Table</w:t>
      </w:r>
      <w:r w:rsidR="00707FA9">
        <w:rPr>
          <w:rFonts w:ascii="Times New Roman" w:hAnsi="Times New Roman"/>
          <w:b/>
        </w:rPr>
        <w:t xml:space="preserve"> :</w:t>
      </w:r>
      <w:r w:rsidRPr="00FD1AA2">
        <w:rPr>
          <w:rFonts w:ascii="Times New Roman" w:hAnsi="Times New Roman"/>
          <w:b/>
        </w:rPr>
        <w:t xml:space="preserve"> 4.12</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Cash and Bank Balance Ratio</w:t>
      </w:r>
    </w:p>
    <w:tbl>
      <w:tblPr>
        <w:tblW w:w="5513"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16"/>
        <w:gridCol w:w="1416"/>
        <w:gridCol w:w="1316"/>
        <w:gridCol w:w="1316"/>
        <w:gridCol w:w="1316"/>
        <w:gridCol w:w="1316"/>
        <w:gridCol w:w="672"/>
        <w:gridCol w:w="566"/>
        <w:gridCol w:w="566"/>
      </w:tblGrid>
      <w:tr w:rsidR="00DA4DD8" w:rsidRPr="00790356" w:rsidTr="00790356">
        <w:trPr>
          <w:trHeight w:val="303"/>
          <w:jc w:val="center"/>
        </w:trPr>
        <w:tc>
          <w:tcPr>
            <w:tcW w:w="530" w:type="pct"/>
          </w:tcPr>
          <w:p w:rsidR="00DA4DD8" w:rsidRPr="00790356" w:rsidRDefault="00DA4DD8" w:rsidP="007A5296">
            <w:pPr>
              <w:spacing w:after="120"/>
              <w:jc w:val="center"/>
              <w:rPr>
                <w:rFonts w:ascii="Times New Roman" w:hAnsi="Times New Roman"/>
                <w:b/>
                <w:sz w:val="20"/>
                <w:szCs w:val="20"/>
              </w:rPr>
            </w:pPr>
            <w:r w:rsidRPr="00790356">
              <w:rPr>
                <w:rFonts w:ascii="Times New Roman" w:hAnsi="Times New Roman"/>
                <w:b/>
                <w:sz w:val="20"/>
                <w:szCs w:val="20"/>
              </w:rPr>
              <w:t>Fiscal Year</w:t>
            </w:r>
          </w:p>
        </w:tc>
        <w:tc>
          <w:tcPr>
            <w:tcW w:w="711"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2062/063</w:t>
            </w:r>
          </w:p>
        </w:tc>
        <w:tc>
          <w:tcPr>
            <w:tcW w:w="700"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2063/064</w:t>
            </w:r>
          </w:p>
        </w:tc>
        <w:tc>
          <w:tcPr>
            <w:tcW w:w="700"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2064/065</w:t>
            </w:r>
          </w:p>
        </w:tc>
        <w:tc>
          <w:tcPr>
            <w:tcW w:w="700"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2065/066</w:t>
            </w:r>
          </w:p>
        </w:tc>
        <w:tc>
          <w:tcPr>
            <w:tcW w:w="700"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2066/067</w:t>
            </w:r>
          </w:p>
        </w:tc>
        <w:tc>
          <w:tcPr>
            <w:tcW w:w="357"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Mean</w:t>
            </w:r>
          </w:p>
        </w:tc>
        <w:tc>
          <w:tcPr>
            <w:tcW w:w="301"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S.D</w:t>
            </w:r>
          </w:p>
        </w:tc>
        <w:tc>
          <w:tcPr>
            <w:tcW w:w="301"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CV</w:t>
            </w:r>
          </w:p>
        </w:tc>
      </w:tr>
      <w:tr w:rsidR="00DA4DD8" w:rsidRPr="00790356" w:rsidTr="00790356">
        <w:trPr>
          <w:trHeight w:val="633"/>
          <w:jc w:val="center"/>
        </w:trPr>
        <w:tc>
          <w:tcPr>
            <w:tcW w:w="530" w:type="pct"/>
          </w:tcPr>
          <w:p w:rsidR="00DA4DD8" w:rsidRPr="00790356" w:rsidRDefault="00DA4DD8" w:rsidP="007A5296">
            <w:pPr>
              <w:spacing w:after="120"/>
              <w:jc w:val="both"/>
              <w:rPr>
                <w:rFonts w:ascii="Times New Roman" w:hAnsi="Times New Roman"/>
                <w:sz w:val="20"/>
                <w:szCs w:val="20"/>
              </w:rPr>
            </w:pPr>
            <w:r w:rsidRPr="00790356">
              <w:rPr>
                <w:rFonts w:ascii="Times New Roman" w:hAnsi="Times New Roman"/>
                <w:sz w:val="20"/>
                <w:szCs w:val="20"/>
              </w:rPr>
              <w:t xml:space="preserve">Cash and Bank Balance  </w:t>
            </w:r>
          </w:p>
        </w:tc>
        <w:tc>
          <w:tcPr>
            <w:tcW w:w="711"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81392393626</w:t>
            </w:r>
          </w:p>
        </w:tc>
        <w:tc>
          <w:tcPr>
            <w:tcW w:w="700"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82676473810</w:t>
            </w:r>
          </w:p>
        </w:tc>
        <w:tc>
          <w:tcPr>
            <w:tcW w:w="700"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84265037442</w:t>
            </w:r>
          </w:p>
        </w:tc>
        <w:tc>
          <w:tcPr>
            <w:tcW w:w="700"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87031686558</w:t>
            </w:r>
          </w:p>
        </w:tc>
        <w:tc>
          <w:tcPr>
            <w:tcW w:w="700"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89491403975</w:t>
            </w:r>
          </w:p>
        </w:tc>
        <w:tc>
          <w:tcPr>
            <w:tcW w:w="357"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w:t>
            </w:r>
          </w:p>
        </w:tc>
        <w:tc>
          <w:tcPr>
            <w:tcW w:w="301"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w:t>
            </w:r>
          </w:p>
        </w:tc>
        <w:tc>
          <w:tcPr>
            <w:tcW w:w="301"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w:t>
            </w:r>
          </w:p>
        </w:tc>
      </w:tr>
      <w:tr w:rsidR="00DA4DD8" w:rsidRPr="00790356" w:rsidTr="00790356">
        <w:trPr>
          <w:trHeight w:val="618"/>
          <w:jc w:val="center"/>
        </w:trPr>
        <w:tc>
          <w:tcPr>
            <w:tcW w:w="530" w:type="pct"/>
          </w:tcPr>
          <w:p w:rsidR="00DA4DD8" w:rsidRPr="00790356" w:rsidRDefault="00DA4DD8" w:rsidP="007A5296">
            <w:pPr>
              <w:spacing w:after="120"/>
              <w:jc w:val="both"/>
              <w:rPr>
                <w:rFonts w:ascii="Times New Roman" w:hAnsi="Times New Roman"/>
                <w:sz w:val="20"/>
                <w:szCs w:val="20"/>
              </w:rPr>
            </w:pPr>
            <w:r w:rsidRPr="00790356">
              <w:rPr>
                <w:rFonts w:ascii="Times New Roman" w:hAnsi="Times New Roman"/>
                <w:sz w:val="20"/>
                <w:szCs w:val="20"/>
              </w:rPr>
              <w:t xml:space="preserve">Total Deposits </w:t>
            </w:r>
          </w:p>
          <w:p w:rsidR="00DA4DD8" w:rsidRPr="00790356" w:rsidRDefault="00DA4DD8" w:rsidP="007A5296">
            <w:pPr>
              <w:spacing w:after="120"/>
              <w:jc w:val="both"/>
              <w:rPr>
                <w:rFonts w:ascii="Times New Roman" w:hAnsi="Times New Roman"/>
                <w:sz w:val="20"/>
                <w:szCs w:val="20"/>
              </w:rPr>
            </w:pPr>
            <w:r w:rsidRPr="00790356">
              <w:rPr>
                <w:rFonts w:ascii="Times New Roman" w:hAnsi="Times New Roman"/>
                <w:sz w:val="20"/>
                <w:szCs w:val="20"/>
              </w:rPr>
              <w:t xml:space="preserve">(in million) </w:t>
            </w:r>
          </w:p>
        </w:tc>
        <w:tc>
          <w:tcPr>
            <w:tcW w:w="711"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789329767233</w:t>
            </w:r>
          </w:p>
        </w:tc>
        <w:tc>
          <w:tcPr>
            <w:tcW w:w="700"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9475451509</w:t>
            </w:r>
          </w:p>
        </w:tc>
        <w:tc>
          <w:tcPr>
            <w:tcW w:w="700"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11102242263</w:t>
            </w:r>
          </w:p>
        </w:tc>
        <w:tc>
          <w:tcPr>
            <w:tcW w:w="700"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15596790845</w:t>
            </w:r>
          </w:p>
        </w:tc>
        <w:tc>
          <w:tcPr>
            <w:tcW w:w="700"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18535917002</w:t>
            </w:r>
          </w:p>
        </w:tc>
        <w:tc>
          <w:tcPr>
            <w:tcW w:w="357"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w:t>
            </w:r>
          </w:p>
        </w:tc>
        <w:tc>
          <w:tcPr>
            <w:tcW w:w="301"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w:t>
            </w:r>
          </w:p>
        </w:tc>
        <w:tc>
          <w:tcPr>
            <w:tcW w:w="301"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w:t>
            </w:r>
          </w:p>
        </w:tc>
      </w:tr>
      <w:tr w:rsidR="00DA4DD8" w:rsidRPr="00790356" w:rsidTr="00790356">
        <w:trPr>
          <w:trHeight w:val="633"/>
          <w:jc w:val="center"/>
        </w:trPr>
        <w:tc>
          <w:tcPr>
            <w:tcW w:w="530" w:type="pct"/>
          </w:tcPr>
          <w:p w:rsidR="00DA4DD8" w:rsidRPr="00790356" w:rsidRDefault="00DA4DD8" w:rsidP="007A5296">
            <w:pPr>
              <w:spacing w:after="120"/>
              <w:jc w:val="both"/>
              <w:rPr>
                <w:rFonts w:ascii="Times New Roman" w:hAnsi="Times New Roman"/>
                <w:sz w:val="20"/>
                <w:szCs w:val="20"/>
              </w:rPr>
            </w:pPr>
            <w:r w:rsidRPr="00790356">
              <w:rPr>
                <w:rFonts w:ascii="Times New Roman" w:hAnsi="Times New Roman"/>
                <w:sz w:val="20"/>
                <w:szCs w:val="20"/>
              </w:rPr>
              <w:t>Cash and Bank Ratio (%)</w:t>
            </w:r>
          </w:p>
        </w:tc>
        <w:tc>
          <w:tcPr>
            <w:tcW w:w="711"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10.31</w:t>
            </w:r>
          </w:p>
        </w:tc>
        <w:tc>
          <w:tcPr>
            <w:tcW w:w="700"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13.55</w:t>
            </w:r>
          </w:p>
        </w:tc>
        <w:tc>
          <w:tcPr>
            <w:tcW w:w="700"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14.31</w:t>
            </w:r>
          </w:p>
        </w:tc>
        <w:tc>
          <w:tcPr>
            <w:tcW w:w="700"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17.74</w:t>
            </w:r>
          </w:p>
        </w:tc>
        <w:tc>
          <w:tcPr>
            <w:tcW w:w="700"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13.27</w:t>
            </w:r>
          </w:p>
        </w:tc>
        <w:tc>
          <w:tcPr>
            <w:tcW w:w="357"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13.84</w:t>
            </w:r>
          </w:p>
        </w:tc>
        <w:tc>
          <w:tcPr>
            <w:tcW w:w="301"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2.38</w:t>
            </w:r>
          </w:p>
        </w:tc>
        <w:tc>
          <w:tcPr>
            <w:tcW w:w="301" w:type="pct"/>
          </w:tcPr>
          <w:p w:rsidR="00DA4DD8" w:rsidRPr="00790356" w:rsidRDefault="00DA4DD8" w:rsidP="007A5296">
            <w:pPr>
              <w:spacing w:after="120"/>
              <w:jc w:val="center"/>
              <w:rPr>
                <w:rFonts w:ascii="Times New Roman" w:hAnsi="Times New Roman"/>
                <w:sz w:val="20"/>
                <w:szCs w:val="20"/>
              </w:rPr>
            </w:pPr>
            <w:r w:rsidRPr="00790356">
              <w:rPr>
                <w:rFonts w:ascii="Times New Roman" w:hAnsi="Times New Roman"/>
                <w:sz w:val="20"/>
                <w:szCs w:val="20"/>
              </w:rPr>
              <w:t>17.2</w:t>
            </w:r>
          </w:p>
        </w:tc>
      </w:tr>
    </w:tbl>
    <w:p w:rsidR="00DA4DD8" w:rsidRPr="004F0431" w:rsidRDefault="00A57B07" w:rsidP="00FD1AA2">
      <w:pPr>
        <w:widowControl w:val="0"/>
        <w:tabs>
          <w:tab w:val="left" w:pos="9000"/>
        </w:tabs>
        <w:spacing w:after="240" w:line="360" w:lineRule="auto"/>
        <w:jc w:val="both"/>
        <w:rPr>
          <w:rFonts w:ascii="Times New Roman" w:hAnsi="Times New Roman"/>
          <w:i/>
        </w:rPr>
      </w:pPr>
      <w:r w:rsidRPr="004F0431">
        <w:rPr>
          <w:rFonts w:ascii="Times New Roman" w:hAnsi="Times New Roman"/>
          <w:i/>
        </w:rPr>
        <w:t>Source:</w:t>
      </w:r>
      <w:r w:rsidR="00DA4DD8" w:rsidRPr="004F0431">
        <w:rPr>
          <w:rFonts w:ascii="Times New Roman" w:hAnsi="Times New Roman"/>
          <w:i/>
        </w:rPr>
        <w:t xml:space="preserve"> Annual Reports of MBL</w:t>
      </w:r>
    </w:p>
    <w:p w:rsidR="00DA4DD8" w:rsidRPr="00FD1AA2" w:rsidRDefault="004F0431" w:rsidP="00FD1AA2">
      <w:pPr>
        <w:widowControl w:val="0"/>
        <w:tabs>
          <w:tab w:val="left" w:pos="9000"/>
        </w:tabs>
        <w:spacing w:after="240" w:line="360" w:lineRule="auto"/>
        <w:jc w:val="center"/>
        <w:rPr>
          <w:rFonts w:ascii="Times New Roman" w:hAnsi="Times New Roman"/>
          <w:b/>
        </w:rPr>
      </w:pPr>
      <w:r>
        <w:rPr>
          <w:rFonts w:ascii="Times New Roman" w:hAnsi="Times New Roman"/>
          <w:b/>
        </w:rPr>
        <w:t>Figure</w:t>
      </w:r>
      <w:r w:rsidR="00266C45">
        <w:rPr>
          <w:rFonts w:ascii="Times New Roman" w:hAnsi="Times New Roman"/>
          <w:b/>
        </w:rPr>
        <w:t xml:space="preserve"> </w:t>
      </w:r>
      <w:r>
        <w:rPr>
          <w:rFonts w:ascii="Times New Roman" w:hAnsi="Times New Roman"/>
          <w:b/>
        </w:rPr>
        <w:t>:</w:t>
      </w:r>
      <w:r w:rsidR="00DA4DD8" w:rsidRPr="00FD1AA2">
        <w:rPr>
          <w:rFonts w:ascii="Times New Roman" w:hAnsi="Times New Roman"/>
          <w:b/>
        </w:rPr>
        <w:t xml:space="preserve"> 4.12</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Cash and Bank Balance Ratio</w:t>
      </w:r>
    </w:p>
    <w:p w:rsidR="00DA4DD8" w:rsidRPr="00FD1AA2" w:rsidRDefault="009A308E" w:rsidP="00FD1AA2">
      <w:pPr>
        <w:widowControl w:val="0"/>
        <w:tabs>
          <w:tab w:val="left" w:pos="9000"/>
        </w:tabs>
        <w:spacing w:after="240" w:line="360" w:lineRule="auto"/>
        <w:jc w:val="center"/>
        <w:rPr>
          <w:rFonts w:ascii="Times New Roman" w:hAnsi="Times New Roman"/>
          <w:b/>
        </w:rPr>
      </w:pPr>
      <w:r>
        <w:rPr>
          <w:rFonts w:ascii="Times New Roman" w:hAnsi="Times New Roman"/>
          <w:b/>
          <w:noProof/>
          <w:lang w:bidi="ar-SA"/>
        </w:rPr>
        <w:drawing>
          <wp:inline distT="0" distB="0" distL="0" distR="0">
            <wp:extent cx="5274945" cy="3153359"/>
            <wp:effectExtent l="19050" t="0" r="20955" b="8941"/>
            <wp:docPr id="38"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7A5296" w:rsidRDefault="007A5296">
      <w:pPr>
        <w:spacing w:after="200" w:line="276" w:lineRule="auto"/>
        <w:rPr>
          <w:rFonts w:ascii="Times New Roman" w:hAnsi="Times New Roman"/>
        </w:rPr>
      </w:pPr>
      <w:r>
        <w:rPr>
          <w:rFonts w:ascii="Times New Roman" w:hAnsi="Times New Roman"/>
        </w:rPr>
        <w:br w:type="page"/>
      </w:r>
    </w:p>
    <w:p w:rsidR="00DA4DD8" w:rsidRPr="00FD1AA2" w:rsidRDefault="00DA4DD8" w:rsidP="00FD1AA2">
      <w:pPr>
        <w:widowControl w:val="0"/>
        <w:tabs>
          <w:tab w:val="left" w:pos="9000"/>
        </w:tabs>
        <w:spacing w:after="240" w:line="360" w:lineRule="auto"/>
        <w:jc w:val="both"/>
        <w:rPr>
          <w:rFonts w:ascii="Times New Roman" w:hAnsi="Times New Roman"/>
        </w:rPr>
      </w:pPr>
      <w:r w:rsidRPr="00FD1AA2">
        <w:rPr>
          <w:rFonts w:ascii="Times New Roman" w:hAnsi="Times New Roman"/>
        </w:rPr>
        <w:lastRenderedPageBreak/>
        <w:t>The above table and figure 4.12 shows cash and bank balance ratio of MBL for the study period 10.31%, 13.55%, 14.31%, 17.74% and 13.27% in F.Y. 2062/063 to F.Y. 2066/067 respectively. The ratio is maximum in F.Y. 2065/066 with 17.74% and minimum in 2062/063 with 10.31%. The ratio has increased till 2065/066, than the ratio has decreased in the final year 2066/067. The average of cash and bank balance ratio is 13.84%, standard deviation (S.D.) is 2.38% and coefficient of variation (C.V.) is 17.12%.</w:t>
      </w:r>
    </w:p>
    <w:p w:rsidR="00DA4DD8" w:rsidRPr="000C1D63" w:rsidRDefault="00DA4DD8" w:rsidP="00FD1AA2">
      <w:pPr>
        <w:widowControl w:val="0"/>
        <w:spacing w:after="240" w:line="360" w:lineRule="auto"/>
        <w:jc w:val="both"/>
        <w:rPr>
          <w:rFonts w:ascii="Times New Roman" w:hAnsi="Times New Roman"/>
          <w:b/>
          <w:sz w:val="28"/>
        </w:rPr>
      </w:pPr>
      <w:r w:rsidRPr="000C1D63">
        <w:rPr>
          <w:rFonts w:ascii="Times New Roman" w:hAnsi="Times New Roman"/>
          <w:b/>
          <w:sz w:val="28"/>
        </w:rPr>
        <w:t>4.5.3</w:t>
      </w:r>
      <w:r w:rsidRPr="000C1D63">
        <w:rPr>
          <w:rFonts w:ascii="Times New Roman" w:hAnsi="Times New Roman"/>
          <w:b/>
          <w:sz w:val="28"/>
        </w:rPr>
        <w:tab/>
        <w:t>Investment on Government Security Ratio</w:t>
      </w:r>
    </w:p>
    <w:p w:rsidR="00DA4DD8" w:rsidRPr="00FD1AA2" w:rsidRDefault="00DA4DD8" w:rsidP="00FD1AA2">
      <w:pPr>
        <w:widowControl w:val="0"/>
        <w:tabs>
          <w:tab w:val="left" w:pos="9000"/>
        </w:tabs>
        <w:spacing w:after="240" w:line="360" w:lineRule="auto"/>
        <w:jc w:val="both"/>
        <w:rPr>
          <w:rFonts w:ascii="Times New Roman" w:hAnsi="Times New Roman"/>
        </w:rPr>
      </w:pPr>
      <w:r w:rsidRPr="00FD1AA2">
        <w:rPr>
          <w:rFonts w:ascii="Times New Roman" w:hAnsi="Times New Roman"/>
        </w:rPr>
        <w:t>Government Securities are known as risk free assets, which are converted in to cash easily in short period. This ratio also measures the ability to pay short term obligation. This ratio also helps to measures the liquidity position of selected commercial banks.</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 xml:space="preserve">Table </w:t>
      </w:r>
      <w:r w:rsidR="00E4001B">
        <w:rPr>
          <w:rFonts w:ascii="Times New Roman" w:hAnsi="Times New Roman"/>
          <w:b/>
        </w:rPr>
        <w:t xml:space="preserve">: </w:t>
      </w:r>
      <w:r w:rsidRPr="00FD1AA2">
        <w:rPr>
          <w:rFonts w:ascii="Times New Roman" w:hAnsi="Times New Roman"/>
          <w:b/>
        </w:rPr>
        <w:t>4.13</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Investment on Government Security Ratio</w:t>
      </w:r>
    </w:p>
    <w:tbl>
      <w:tblPr>
        <w:tblW w:w="5763" w:type="pct"/>
        <w:jc w:val="center"/>
        <w:tblInd w:w="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443"/>
        <w:gridCol w:w="1385"/>
        <w:gridCol w:w="1201"/>
        <w:gridCol w:w="1218"/>
        <w:gridCol w:w="1260"/>
        <w:gridCol w:w="1258"/>
        <w:gridCol w:w="721"/>
        <w:gridCol w:w="666"/>
        <w:gridCol w:w="674"/>
      </w:tblGrid>
      <w:tr w:rsidR="00DA4DD8" w:rsidRPr="00FD1AA2" w:rsidTr="00E8073F">
        <w:trPr>
          <w:trHeight w:val="310"/>
          <w:jc w:val="center"/>
        </w:trPr>
        <w:tc>
          <w:tcPr>
            <w:tcW w:w="734" w:type="pct"/>
          </w:tcPr>
          <w:p w:rsidR="00DA4DD8" w:rsidRPr="00FD1AA2" w:rsidRDefault="00DA4DD8" w:rsidP="007A5296">
            <w:pPr>
              <w:spacing w:after="120"/>
              <w:jc w:val="center"/>
              <w:rPr>
                <w:rFonts w:ascii="Times New Roman" w:hAnsi="Times New Roman"/>
                <w:b/>
                <w:sz w:val="18"/>
              </w:rPr>
            </w:pPr>
            <w:r w:rsidRPr="00FD1AA2">
              <w:rPr>
                <w:rFonts w:ascii="Times New Roman" w:hAnsi="Times New Roman"/>
                <w:b/>
                <w:sz w:val="18"/>
              </w:rPr>
              <w:t>Fiscal Year</w:t>
            </w:r>
          </w:p>
        </w:tc>
        <w:tc>
          <w:tcPr>
            <w:tcW w:w="705"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2062/063</w:t>
            </w:r>
          </w:p>
        </w:tc>
        <w:tc>
          <w:tcPr>
            <w:tcW w:w="611"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2063/064</w:t>
            </w:r>
          </w:p>
        </w:tc>
        <w:tc>
          <w:tcPr>
            <w:tcW w:w="620"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2064/065</w:t>
            </w:r>
          </w:p>
        </w:tc>
        <w:tc>
          <w:tcPr>
            <w:tcW w:w="641"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2065/066</w:t>
            </w:r>
          </w:p>
        </w:tc>
        <w:tc>
          <w:tcPr>
            <w:tcW w:w="640"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2066/067</w:t>
            </w:r>
          </w:p>
        </w:tc>
        <w:tc>
          <w:tcPr>
            <w:tcW w:w="367"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 xml:space="preserve">Mean </w:t>
            </w:r>
          </w:p>
        </w:tc>
        <w:tc>
          <w:tcPr>
            <w:tcW w:w="339"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S.D</w:t>
            </w:r>
          </w:p>
        </w:tc>
        <w:tc>
          <w:tcPr>
            <w:tcW w:w="343"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C.V.</w:t>
            </w:r>
          </w:p>
        </w:tc>
      </w:tr>
      <w:tr w:rsidR="00DA4DD8" w:rsidRPr="00FD1AA2" w:rsidTr="00E8073F">
        <w:trPr>
          <w:trHeight w:val="607"/>
          <w:jc w:val="center"/>
        </w:trPr>
        <w:tc>
          <w:tcPr>
            <w:tcW w:w="734" w:type="pct"/>
          </w:tcPr>
          <w:p w:rsidR="00DA4DD8" w:rsidRPr="00FD1AA2" w:rsidRDefault="00DA4DD8" w:rsidP="007A5296">
            <w:pPr>
              <w:spacing w:after="120"/>
              <w:rPr>
                <w:rFonts w:ascii="Times New Roman" w:hAnsi="Times New Roman"/>
                <w:sz w:val="18"/>
              </w:rPr>
            </w:pPr>
            <w:r w:rsidRPr="00FD1AA2">
              <w:rPr>
                <w:rFonts w:ascii="Times New Roman" w:hAnsi="Times New Roman"/>
                <w:sz w:val="18"/>
              </w:rPr>
              <w:t xml:space="preserve">Investment in Government Security   </w:t>
            </w:r>
          </w:p>
        </w:tc>
        <w:tc>
          <w:tcPr>
            <w:tcW w:w="705"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90447186457</w:t>
            </w:r>
          </w:p>
        </w:tc>
        <w:tc>
          <w:tcPr>
            <w:tcW w:w="611"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951272430</w:t>
            </w:r>
          </w:p>
        </w:tc>
        <w:tc>
          <w:tcPr>
            <w:tcW w:w="620"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827351580</w:t>
            </w:r>
          </w:p>
        </w:tc>
        <w:tc>
          <w:tcPr>
            <w:tcW w:w="641"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477814030</w:t>
            </w:r>
          </w:p>
        </w:tc>
        <w:tc>
          <w:tcPr>
            <w:tcW w:w="640"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1896481708</w:t>
            </w:r>
          </w:p>
        </w:tc>
        <w:tc>
          <w:tcPr>
            <w:tcW w:w="367"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w:t>
            </w:r>
          </w:p>
        </w:tc>
        <w:tc>
          <w:tcPr>
            <w:tcW w:w="339"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w:t>
            </w:r>
          </w:p>
        </w:tc>
        <w:tc>
          <w:tcPr>
            <w:tcW w:w="343"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w:t>
            </w:r>
          </w:p>
        </w:tc>
      </w:tr>
      <w:tr w:rsidR="00DA4DD8" w:rsidRPr="00FD1AA2" w:rsidTr="00E8073F">
        <w:trPr>
          <w:trHeight w:val="621"/>
          <w:jc w:val="center"/>
        </w:trPr>
        <w:tc>
          <w:tcPr>
            <w:tcW w:w="734" w:type="pct"/>
          </w:tcPr>
          <w:p w:rsidR="00DA4DD8" w:rsidRPr="00FD1AA2" w:rsidRDefault="00DA4DD8" w:rsidP="007A5296">
            <w:pPr>
              <w:spacing w:after="120"/>
              <w:jc w:val="both"/>
              <w:rPr>
                <w:rFonts w:ascii="Times New Roman" w:hAnsi="Times New Roman"/>
                <w:sz w:val="18"/>
              </w:rPr>
            </w:pPr>
            <w:r w:rsidRPr="00FD1AA2">
              <w:rPr>
                <w:rFonts w:ascii="Times New Roman" w:hAnsi="Times New Roman"/>
                <w:sz w:val="18"/>
              </w:rPr>
              <w:t xml:space="preserve">Total Deposits </w:t>
            </w:r>
          </w:p>
          <w:p w:rsidR="00DA4DD8" w:rsidRPr="00FD1AA2" w:rsidRDefault="00DA4DD8" w:rsidP="007A5296">
            <w:pPr>
              <w:spacing w:after="120"/>
              <w:jc w:val="both"/>
              <w:rPr>
                <w:rFonts w:ascii="Times New Roman" w:hAnsi="Times New Roman"/>
                <w:sz w:val="18"/>
              </w:rPr>
            </w:pPr>
            <w:r w:rsidRPr="00FD1AA2">
              <w:rPr>
                <w:rFonts w:ascii="Times New Roman" w:hAnsi="Times New Roman"/>
                <w:sz w:val="18"/>
              </w:rPr>
              <w:t xml:space="preserve">(in million) </w:t>
            </w:r>
          </w:p>
        </w:tc>
        <w:tc>
          <w:tcPr>
            <w:tcW w:w="705"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789329767233</w:t>
            </w:r>
          </w:p>
        </w:tc>
        <w:tc>
          <w:tcPr>
            <w:tcW w:w="611"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9475451509</w:t>
            </w:r>
          </w:p>
        </w:tc>
        <w:tc>
          <w:tcPr>
            <w:tcW w:w="620"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11102242263</w:t>
            </w:r>
          </w:p>
        </w:tc>
        <w:tc>
          <w:tcPr>
            <w:tcW w:w="641"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15596790845</w:t>
            </w:r>
          </w:p>
        </w:tc>
        <w:tc>
          <w:tcPr>
            <w:tcW w:w="640"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18535917002</w:t>
            </w:r>
          </w:p>
        </w:tc>
        <w:tc>
          <w:tcPr>
            <w:tcW w:w="367"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w:t>
            </w:r>
          </w:p>
        </w:tc>
        <w:tc>
          <w:tcPr>
            <w:tcW w:w="339"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w:t>
            </w:r>
          </w:p>
        </w:tc>
        <w:tc>
          <w:tcPr>
            <w:tcW w:w="343"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w:t>
            </w:r>
          </w:p>
        </w:tc>
      </w:tr>
      <w:tr w:rsidR="00DA4DD8" w:rsidRPr="00FD1AA2" w:rsidTr="00E8073F">
        <w:trPr>
          <w:trHeight w:val="621"/>
          <w:jc w:val="center"/>
        </w:trPr>
        <w:tc>
          <w:tcPr>
            <w:tcW w:w="734" w:type="pct"/>
          </w:tcPr>
          <w:p w:rsidR="00DA4DD8" w:rsidRPr="00FD1AA2" w:rsidRDefault="00DA4DD8" w:rsidP="007A5296">
            <w:pPr>
              <w:spacing w:after="120"/>
              <w:rPr>
                <w:rFonts w:ascii="Times New Roman" w:hAnsi="Times New Roman"/>
                <w:sz w:val="18"/>
              </w:rPr>
            </w:pPr>
            <w:r w:rsidRPr="00FD1AA2">
              <w:rPr>
                <w:rFonts w:ascii="Times New Roman" w:hAnsi="Times New Roman"/>
                <w:sz w:val="18"/>
              </w:rPr>
              <w:t>Investment on Government Security  Ratio (%)</w:t>
            </w:r>
          </w:p>
        </w:tc>
        <w:tc>
          <w:tcPr>
            <w:tcW w:w="705"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11.46</w:t>
            </w:r>
          </w:p>
        </w:tc>
        <w:tc>
          <w:tcPr>
            <w:tcW w:w="611"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10.04</w:t>
            </w:r>
          </w:p>
        </w:tc>
        <w:tc>
          <w:tcPr>
            <w:tcW w:w="620"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7.45</w:t>
            </w:r>
          </w:p>
        </w:tc>
        <w:tc>
          <w:tcPr>
            <w:tcW w:w="641"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3.06</w:t>
            </w:r>
          </w:p>
        </w:tc>
        <w:tc>
          <w:tcPr>
            <w:tcW w:w="640"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10.23</w:t>
            </w:r>
          </w:p>
        </w:tc>
        <w:tc>
          <w:tcPr>
            <w:tcW w:w="367"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8.25</w:t>
            </w:r>
          </w:p>
        </w:tc>
        <w:tc>
          <w:tcPr>
            <w:tcW w:w="339"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2.81</w:t>
            </w:r>
          </w:p>
        </w:tc>
        <w:tc>
          <w:tcPr>
            <w:tcW w:w="343" w:type="pct"/>
          </w:tcPr>
          <w:p w:rsidR="00DA4DD8" w:rsidRPr="00FD1AA2" w:rsidRDefault="00DA4DD8" w:rsidP="007A5296">
            <w:pPr>
              <w:spacing w:after="120"/>
              <w:jc w:val="center"/>
              <w:rPr>
                <w:rFonts w:ascii="Times New Roman" w:hAnsi="Times New Roman"/>
                <w:sz w:val="18"/>
              </w:rPr>
            </w:pPr>
            <w:r w:rsidRPr="00FD1AA2">
              <w:rPr>
                <w:rFonts w:ascii="Times New Roman" w:hAnsi="Times New Roman"/>
                <w:sz w:val="18"/>
              </w:rPr>
              <w:t>34.06</w:t>
            </w:r>
          </w:p>
        </w:tc>
      </w:tr>
    </w:tbl>
    <w:p w:rsidR="00DA4DD8" w:rsidRPr="000C1D63" w:rsidRDefault="00DA4DD8" w:rsidP="00FD1AA2">
      <w:pPr>
        <w:widowControl w:val="0"/>
        <w:tabs>
          <w:tab w:val="left" w:pos="9000"/>
        </w:tabs>
        <w:spacing w:after="240" w:line="360" w:lineRule="auto"/>
        <w:jc w:val="both"/>
        <w:rPr>
          <w:rFonts w:ascii="Times New Roman" w:hAnsi="Times New Roman"/>
          <w:i/>
        </w:rPr>
      </w:pPr>
      <w:r w:rsidRPr="000C1D63">
        <w:rPr>
          <w:rFonts w:ascii="Times New Roman" w:hAnsi="Times New Roman"/>
          <w:i/>
        </w:rPr>
        <w:t>Source : Annual Reports of MBL</w:t>
      </w:r>
    </w:p>
    <w:p w:rsidR="007A5296" w:rsidRDefault="007A5296">
      <w:pPr>
        <w:spacing w:after="200" w:line="276" w:lineRule="auto"/>
        <w:rPr>
          <w:rFonts w:ascii="Times New Roman" w:hAnsi="Times New Roman"/>
          <w:b/>
        </w:rPr>
      </w:pPr>
      <w:r>
        <w:rPr>
          <w:rFonts w:ascii="Times New Roman" w:hAnsi="Times New Roman"/>
          <w:b/>
        </w:rPr>
        <w:br w:type="page"/>
      </w:r>
    </w:p>
    <w:p w:rsidR="00DA4DD8" w:rsidRPr="00FD1AA2" w:rsidRDefault="006863EB" w:rsidP="00FD1AA2">
      <w:pPr>
        <w:widowControl w:val="0"/>
        <w:tabs>
          <w:tab w:val="left" w:pos="9000"/>
        </w:tabs>
        <w:spacing w:after="240" w:line="360" w:lineRule="auto"/>
        <w:jc w:val="center"/>
        <w:rPr>
          <w:rFonts w:ascii="Times New Roman" w:hAnsi="Times New Roman"/>
          <w:b/>
        </w:rPr>
      </w:pPr>
      <w:r>
        <w:rPr>
          <w:rFonts w:ascii="Times New Roman" w:hAnsi="Times New Roman"/>
          <w:b/>
        </w:rPr>
        <w:lastRenderedPageBreak/>
        <w:t>Figure :</w:t>
      </w:r>
      <w:r w:rsidR="00DA4DD8" w:rsidRPr="00FD1AA2">
        <w:rPr>
          <w:rFonts w:ascii="Times New Roman" w:hAnsi="Times New Roman"/>
          <w:b/>
        </w:rPr>
        <w:t xml:space="preserve"> 4.13</w:t>
      </w:r>
    </w:p>
    <w:p w:rsidR="00DA4DD8" w:rsidRPr="00FD1AA2" w:rsidRDefault="00DA4DD8" w:rsidP="00FD1AA2">
      <w:pPr>
        <w:widowControl w:val="0"/>
        <w:tabs>
          <w:tab w:val="left" w:pos="9000"/>
        </w:tabs>
        <w:spacing w:after="240" w:line="360" w:lineRule="auto"/>
        <w:jc w:val="center"/>
        <w:rPr>
          <w:rFonts w:ascii="Times New Roman" w:hAnsi="Times New Roman"/>
          <w:b/>
        </w:rPr>
      </w:pPr>
      <w:r w:rsidRPr="00FD1AA2">
        <w:rPr>
          <w:rFonts w:ascii="Times New Roman" w:hAnsi="Times New Roman"/>
          <w:b/>
        </w:rPr>
        <w:t>Investment on Government Security Ratio</w:t>
      </w:r>
    </w:p>
    <w:p w:rsidR="00DA4DD8" w:rsidRPr="00FD1AA2" w:rsidRDefault="009A308E" w:rsidP="00FD1AA2">
      <w:pPr>
        <w:widowControl w:val="0"/>
        <w:spacing w:after="240" w:line="360" w:lineRule="auto"/>
        <w:jc w:val="both"/>
        <w:rPr>
          <w:rFonts w:ascii="Times New Roman" w:hAnsi="Times New Roman"/>
        </w:rPr>
      </w:pPr>
      <w:r>
        <w:rPr>
          <w:rFonts w:ascii="Times New Roman" w:hAnsi="Times New Roman"/>
          <w:noProof/>
          <w:lang w:bidi="ar-SA"/>
        </w:rPr>
        <w:drawing>
          <wp:inline distT="0" distB="0" distL="0" distR="0">
            <wp:extent cx="5274945" cy="3153359"/>
            <wp:effectExtent l="19050" t="0" r="20955" b="8941"/>
            <wp:docPr id="37"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A4DD8" w:rsidRPr="00FD1AA2" w:rsidRDefault="00DA4DD8" w:rsidP="00FD1AA2">
      <w:pPr>
        <w:widowControl w:val="0"/>
        <w:spacing w:after="240" w:line="360" w:lineRule="auto"/>
        <w:jc w:val="both"/>
        <w:rPr>
          <w:rFonts w:ascii="Times New Roman" w:hAnsi="Times New Roman"/>
        </w:rPr>
      </w:pPr>
      <w:r w:rsidRPr="00FD1AA2">
        <w:rPr>
          <w:rFonts w:ascii="Times New Roman" w:hAnsi="Times New Roman"/>
        </w:rPr>
        <w:t xml:space="preserve">The above table and figure 4.13 shows investment on government security of MBL for the study period 11.46%, 10.04%, 7.45%, 3.06% and 10.23% in F.Y. 2062/063 to F.Y. 2066/067 respectively. The ratio is maximum in F.Y. 2062/063 with 11.46% and minimum in F.Y. 2065/066 with 3.00%. The ratio has decreased to 3.06% till in F.Y. 2065/066. Than the ratio is increased in F.Y. 2066/067. The mean average of investment on government security ratio is 8.25%, S.D. is 2.81 &amp; CV is 34.06%. </w:t>
      </w:r>
    </w:p>
    <w:p w:rsidR="00DA4DD8" w:rsidRPr="008937C8" w:rsidRDefault="00DA4DD8" w:rsidP="00FD1AA2">
      <w:pPr>
        <w:widowControl w:val="0"/>
        <w:spacing w:after="240" w:line="360" w:lineRule="auto"/>
        <w:jc w:val="both"/>
        <w:rPr>
          <w:rFonts w:ascii="Times New Roman" w:hAnsi="Times New Roman"/>
          <w:b/>
          <w:sz w:val="28"/>
        </w:rPr>
      </w:pPr>
      <w:r w:rsidRPr="008937C8">
        <w:rPr>
          <w:rFonts w:ascii="Times New Roman" w:hAnsi="Times New Roman"/>
          <w:b/>
          <w:sz w:val="28"/>
        </w:rPr>
        <w:t>4.6</w:t>
      </w:r>
      <w:r w:rsidRPr="008937C8">
        <w:rPr>
          <w:rFonts w:ascii="Times New Roman" w:hAnsi="Times New Roman"/>
          <w:b/>
          <w:sz w:val="28"/>
        </w:rPr>
        <w:tab/>
        <w:t xml:space="preserve">Major Findings </w:t>
      </w:r>
    </w:p>
    <w:p w:rsidR="00DA4DD8" w:rsidRPr="00FD1AA2" w:rsidRDefault="00DA4DD8" w:rsidP="00FD1AA2">
      <w:pPr>
        <w:spacing w:after="240" w:line="360" w:lineRule="auto"/>
        <w:jc w:val="both"/>
        <w:rPr>
          <w:rFonts w:ascii="Times New Roman" w:hAnsi="Times New Roman"/>
        </w:rPr>
      </w:pPr>
      <w:r w:rsidRPr="00FD1AA2">
        <w:rPr>
          <w:rFonts w:ascii="Times New Roman" w:hAnsi="Times New Roman"/>
        </w:rPr>
        <w:t xml:space="preserve">The major findings of </w:t>
      </w:r>
      <w:r w:rsidR="00E8073F">
        <w:rPr>
          <w:rFonts w:ascii="Times New Roman" w:hAnsi="Times New Roman"/>
        </w:rPr>
        <w:t>the study on financial performance</w:t>
      </w:r>
      <w:r w:rsidRPr="00FD1AA2">
        <w:rPr>
          <w:rFonts w:ascii="Times New Roman" w:hAnsi="Times New Roman"/>
        </w:rPr>
        <w:t xml:space="preserve"> analysis of Machhapuchhre Bank Ltd. in the framework of CAMEL are as follows: </w:t>
      </w:r>
    </w:p>
    <w:p w:rsidR="00DA4DD8" w:rsidRPr="00FD1AA2" w:rsidRDefault="00DA4DD8" w:rsidP="00FD1AA2">
      <w:pPr>
        <w:spacing w:after="240" w:line="360" w:lineRule="auto"/>
        <w:ind w:left="720" w:hanging="720"/>
        <w:jc w:val="both"/>
        <w:rPr>
          <w:rFonts w:ascii="Times New Roman" w:hAnsi="Times New Roman"/>
        </w:rPr>
      </w:pPr>
      <w:r w:rsidRPr="00FD1AA2">
        <w:rPr>
          <w:rFonts w:ascii="Times New Roman" w:hAnsi="Times New Roman"/>
        </w:rPr>
        <w:t>4.2.1</w:t>
      </w:r>
      <w:r w:rsidRPr="00FD1AA2">
        <w:rPr>
          <w:rFonts w:ascii="Times New Roman" w:hAnsi="Times New Roman"/>
        </w:rPr>
        <w:tab/>
        <w:t>The core capital adequacy ratio of MBL is distributed as a maximum ratio 11.94% in F.</w:t>
      </w:r>
      <w:r w:rsidR="00650334">
        <w:rPr>
          <w:rFonts w:ascii="Times New Roman" w:hAnsi="Times New Roman"/>
        </w:rPr>
        <w:t>Y. 2062/063 and minimum ratio 9</w:t>
      </w:r>
      <w:r w:rsidRPr="00FD1AA2">
        <w:rPr>
          <w:rFonts w:ascii="Times New Roman" w:hAnsi="Times New Roman"/>
        </w:rPr>
        <w:t>.</w:t>
      </w:r>
      <w:r w:rsidR="00650334">
        <w:rPr>
          <w:rFonts w:ascii="Times New Roman" w:hAnsi="Times New Roman"/>
        </w:rPr>
        <w:t>94</w:t>
      </w:r>
      <w:r w:rsidRPr="00FD1AA2">
        <w:rPr>
          <w:rFonts w:ascii="Times New Roman" w:hAnsi="Times New Roman"/>
        </w:rPr>
        <w:t xml:space="preserve">% in FY 2063/064. The core capital adequacy ratio of the bank is above the NRB standard in all fiscal years. The mean of core capital adequacy ratio was 10.9% and C.V. between them was 5.89%. </w:t>
      </w:r>
    </w:p>
    <w:p w:rsidR="00DA4DD8" w:rsidRPr="00FD1AA2" w:rsidRDefault="00DA4DD8" w:rsidP="00FD1AA2">
      <w:pPr>
        <w:spacing w:after="240" w:line="360" w:lineRule="auto"/>
        <w:ind w:left="720" w:hanging="720"/>
        <w:jc w:val="both"/>
        <w:rPr>
          <w:rFonts w:ascii="Times New Roman" w:hAnsi="Times New Roman"/>
        </w:rPr>
      </w:pPr>
      <w:r w:rsidRPr="00FD1AA2">
        <w:rPr>
          <w:rFonts w:ascii="Times New Roman" w:hAnsi="Times New Roman"/>
        </w:rPr>
        <w:lastRenderedPageBreak/>
        <w:t>4.2.2</w:t>
      </w:r>
      <w:r w:rsidRPr="00FD1AA2">
        <w:rPr>
          <w:rFonts w:ascii="Times New Roman" w:hAnsi="Times New Roman"/>
        </w:rPr>
        <w:tab/>
        <w:t xml:space="preserve">The supplementary capital adequacy ratio of MBL is distributed as a maximum ratio 1.31% in F.Y. 2064/065 and minimum ratio 0.85% in F.Y. 2062/063. MBL has maintained the supplementary capital adequacy ratio as per the NRB standard during the study period. The mean of supplementary  capital adequacy ratio as per the NRB standard during the study period. The mean of supplementary capital adequacy ratio was 1.13% and coefficient of variation (C.V.) between them was 19.47%. </w:t>
      </w:r>
    </w:p>
    <w:p w:rsidR="00DA4DD8" w:rsidRPr="00FD1AA2" w:rsidRDefault="00DA4DD8" w:rsidP="00FD1AA2">
      <w:pPr>
        <w:spacing w:after="240" w:line="360" w:lineRule="auto"/>
        <w:ind w:left="720" w:hanging="720"/>
        <w:jc w:val="both"/>
        <w:rPr>
          <w:rFonts w:ascii="Times New Roman" w:hAnsi="Times New Roman"/>
        </w:rPr>
      </w:pPr>
      <w:r w:rsidRPr="00FD1AA2">
        <w:rPr>
          <w:rFonts w:ascii="Times New Roman" w:hAnsi="Times New Roman"/>
        </w:rPr>
        <w:t>4.2.3</w:t>
      </w:r>
      <w:r w:rsidRPr="00FD1AA2">
        <w:rPr>
          <w:rFonts w:ascii="Times New Roman" w:hAnsi="Times New Roman"/>
        </w:rPr>
        <w:tab/>
        <w:t>Capital adequacy ratio of MBL is distributed as a maximum ratio 12.79% in F.Y. 2062/064 and minimum ratio 11.25</w:t>
      </w:r>
      <w:r w:rsidR="00FD5D64">
        <w:rPr>
          <w:rFonts w:ascii="Times New Roman" w:hAnsi="Times New Roman"/>
        </w:rPr>
        <w:t xml:space="preserve">% in F.Y. 2066/067 as compared </w:t>
      </w:r>
      <w:r w:rsidRPr="00FD1AA2">
        <w:rPr>
          <w:rFonts w:ascii="Times New Roman" w:hAnsi="Times New Roman"/>
        </w:rPr>
        <w:t xml:space="preserve">to the NRB standards, capital adequacy ratios were excess in all the fiscal years. The mean ratio was 12.03% and the C.V. between them was 4.24%. </w:t>
      </w:r>
    </w:p>
    <w:p w:rsidR="00DA4DD8" w:rsidRPr="00FD1AA2" w:rsidRDefault="00DA4DD8" w:rsidP="00FD1AA2">
      <w:pPr>
        <w:spacing w:after="240" w:line="360" w:lineRule="auto"/>
        <w:ind w:left="720" w:hanging="720"/>
        <w:jc w:val="both"/>
        <w:rPr>
          <w:rFonts w:ascii="Times New Roman" w:hAnsi="Times New Roman"/>
        </w:rPr>
      </w:pPr>
      <w:r w:rsidRPr="00FD1AA2">
        <w:rPr>
          <w:rFonts w:ascii="Times New Roman" w:hAnsi="Times New Roman"/>
        </w:rPr>
        <w:t>4.2.4</w:t>
      </w:r>
      <w:r w:rsidRPr="00FD1AA2">
        <w:rPr>
          <w:rFonts w:ascii="Times New Roman" w:hAnsi="Times New Roman"/>
        </w:rPr>
        <w:tab/>
        <w:t xml:space="preserve">The non-performing loan ratio of MBL </w:t>
      </w:r>
      <w:r w:rsidR="00FD5D64">
        <w:rPr>
          <w:rFonts w:ascii="Times New Roman" w:hAnsi="Times New Roman"/>
        </w:rPr>
        <w:t>was</w:t>
      </w:r>
      <w:r w:rsidRPr="00FD1AA2">
        <w:rPr>
          <w:rFonts w:ascii="Times New Roman" w:hAnsi="Times New Roman"/>
        </w:rPr>
        <w:t xml:space="preserve"> in fluctuating trend during the study period. The maximum ratio was 2.64% in F.Y. 2065/066 and minimum ratio was 0.28% in F.Y. 2062/063. The mean ratio was 1.41% and the C.V. between them was 57.26%. </w:t>
      </w:r>
    </w:p>
    <w:p w:rsidR="00DA4DD8" w:rsidRPr="00FD1AA2" w:rsidRDefault="00DA4DD8" w:rsidP="00FD1AA2">
      <w:pPr>
        <w:spacing w:after="240" w:line="360" w:lineRule="auto"/>
        <w:ind w:left="720" w:hanging="720"/>
        <w:jc w:val="both"/>
        <w:rPr>
          <w:rFonts w:ascii="Times New Roman" w:hAnsi="Times New Roman"/>
        </w:rPr>
      </w:pPr>
      <w:r w:rsidRPr="00FD1AA2">
        <w:rPr>
          <w:rFonts w:ascii="Times New Roman" w:hAnsi="Times New Roman"/>
        </w:rPr>
        <w:t>4.2.5</w:t>
      </w:r>
      <w:r w:rsidRPr="00FD1AA2">
        <w:rPr>
          <w:rFonts w:ascii="Times New Roman" w:hAnsi="Times New Roman"/>
        </w:rPr>
        <w:tab/>
        <w:t>The loan loss co</w:t>
      </w:r>
      <w:r w:rsidR="001F59A8">
        <w:rPr>
          <w:rFonts w:ascii="Times New Roman" w:hAnsi="Times New Roman"/>
        </w:rPr>
        <w:t>verage r</w:t>
      </w:r>
      <w:r w:rsidRPr="00FD1AA2">
        <w:rPr>
          <w:rFonts w:ascii="Times New Roman" w:hAnsi="Times New Roman"/>
        </w:rPr>
        <w:t xml:space="preserve">atio of MBL has fluctuated over the five fiscal years. The ratio was maximum of 5.66% in F.Y. 2066/067 and minimum of 1.26% in F.Y. 2062/063. The mean ratio was 3.4% and C.V. between them was 42.35%. </w:t>
      </w:r>
    </w:p>
    <w:p w:rsidR="00DA4DD8" w:rsidRPr="00FD1AA2" w:rsidRDefault="00DA4DD8" w:rsidP="00FD1AA2">
      <w:pPr>
        <w:spacing w:after="240" w:line="360" w:lineRule="auto"/>
        <w:ind w:left="720" w:hanging="720"/>
        <w:jc w:val="both"/>
        <w:rPr>
          <w:rFonts w:ascii="Times New Roman" w:hAnsi="Times New Roman"/>
        </w:rPr>
      </w:pPr>
      <w:r w:rsidRPr="00FD1AA2">
        <w:rPr>
          <w:rFonts w:ascii="Times New Roman" w:hAnsi="Times New Roman"/>
        </w:rPr>
        <w:t>4.2.6</w:t>
      </w:r>
      <w:r w:rsidRPr="00FD1AA2">
        <w:rPr>
          <w:rFonts w:ascii="Times New Roman" w:hAnsi="Times New Roman"/>
        </w:rPr>
        <w:tab/>
        <w:t xml:space="preserve">The total expenses to total income ratio </w:t>
      </w:r>
      <w:r w:rsidR="001F59A8">
        <w:rPr>
          <w:rFonts w:ascii="Times New Roman" w:hAnsi="Times New Roman"/>
        </w:rPr>
        <w:t>of MBL is</w:t>
      </w:r>
      <w:r w:rsidRPr="00FD1AA2">
        <w:rPr>
          <w:rFonts w:ascii="Times New Roman" w:hAnsi="Times New Roman"/>
        </w:rPr>
        <w:t xml:space="preserve"> distributed as a maximum ratio 82.40% in F.Y. 2066/067 and minimum ratio 73.22% in F.Y. 2063/064, The increasing trend of ratio indicates increasing expenses with respect to income. The mean ratio was 75.90% and C.V. between them was 4.37%. </w:t>
      </w:r>
    </w:p>
    <w:p w:rsidR="00DA4DD8" w:rsidRPr="00FD1AA2" w:rsidRDefault="00DA4DD8" w:rsidP="00FD1AA2">
      <w:pPr>
        <w:spacing w:after="240" w:line="360" w:lineRule="auto"/>
        <w:ind w:left="720" w:hanging="720"/>
        <w:jc w:val="both"/>
        <w:rPr>
          <w:rFonts w:ascii="Times New Roman" w:hAnsi="Times New Roman"/>
        </w:rPr>
      </w:pPr>
      <w:r w:rsidRPr="00FD1AA2">
        <w:rPr>
          <w:rFonts w:ascii="Times New Roman" w:hAnsi="Times New Roman"/>
        </w:rPr>
        <w:t>4.2.7</w:t>
      </w:r>
      <w:r w:rsidRPr="00FD1AA2">
        <w:rPr>
          <w:rFonts w:ascii="Times New Roman" w:hAnsi="Times New Roman"/>
        </w:rPr>
        <w:tab/>
        <w:t xml:space="preserve">The earning per employee of MBL higher income </w:t>
      </w:r>
      <w:r w:rsidR="00FD5D64">
        <w:rPr>
          <w:rFonts w:ascii="Times New Roman" w:hAnsi="Times New Roman"/>
        </w:rPr>
        <w:t>was</w:t>
      </w:r>
      <w:r w:rsidRPr="00FD1AA2">
        <w:rPr>
          <w:rFonts w:ascii="Times New Roman" w:hAnsi="Times New Roman"/>
        </w:rPr>
        <w:t xml:space="preserve"> Rs. 683650.681 in F.Y. 2062/063 and lower income was 149009.754 in F.Y. 2066/067. The mean average earning per employee is Rs. 98475173.5. The earning per employee was in decreasing trend. </w:t>
      </w:r>
    </w:p>
    <w:p w:rsidR="00DA4DD8" w:rsidRPr="00FD1AA2" w:rsidRDefault="00DA4DD8" w:rsidP="00FD1AA2">
      <w:pPr>
        <w:spacing w:after="240" w:line="360" w:lineRule="auto"/>
        <w:ind w:left="720" w:hanging="720"/>
        <w:jc w:val="both"/>
        <w:rPr>
          <w:rFonts w:ascii="Times New Roman" w:hAnsi="Times New Roman"/>
        </w:rPr>
      </w:pPr>
      <w:r w:rsidRPr="00FD1AA2">
        <w:rPr>
          <w:rFonts w:ascii="Times New Roman" w:hAnsi="Times New Roman"/>
        </w:rPr>
        <w:t>4.2.8</w:t>
      </w:r>
      <w:r w:rsidRPr="00FD1AA2">
        <w:rPr>
          <w:rFonts w:ascii="Times New Roman" w:hAnsi="Times New Roman"/>
        </w:rPr>
        <w:tab/>
        <w:t>The</w:t>
      </w:r>
      <w:r w:rsidR="00FD5D64">
        <w:rPr>
          <w:rFonts w:ascii="Times New Roman" w:hAnsi="Times New Roman"/>
        </w:rPr>
        <w:t xml:space="preserve"> return on assets ratio of MBL h</w:t>
      </w:r>
      <w:r w:rsidRPr="00FD1AA2">
        <w:rPr>
          <w:rFonts w:ascii="Times New Roman" w:hAnsi="Times New Roman"/>
        </w:rPr>
        <w:t>as highest ratio 1.48% in F.Y. 2062/063 and the lowest</w:t>
      </w:r>
      <w:r w:rsidR="00FD5D64">
        <w:rPr>
          <w:rFonts w:ascii="Times New Roman" w:hAnsi="Times New Roman"/>
        </w:rPr>
        <w:t xml:space="preserve"> ratio 0.35% in F.Y. 2066/067. T</w:t>
      </w:r>
      <w:r w:rsidRPr="00FD1AA2">
        <w:rPr>
          <w:rFonts w:ascii="Times New Roman" w:hAnsi="Times New Roman"/>
        </w:rPr>
        <w:t xml:space="preserve">he ROA ratio was in </w:t>
      </w:r>
      <w:r w:rsidRPr="00FD1AA2">
        <w:rPr>
          <w:rFonts w:ascii="Times New Roman" w:hAnsi="Times New Roman"/>
        </w:rPr>
        <w:lastRenderedPageBreak/>
        <w:t xml:space="preserve">decreasing trend. The mean ratio was 0.78% and C.V. between them was 47.82%. </w:t>
      </w:r>
    </w:p>
    <w:p w:rsidR="00DA4DD8" w:rsidRPr="00FD1AA2" w:rsidRDefault="00DA4DD8" w:rsidP="00FD1AA2">
      <w:pPr>
        <w:spacing w:after="240" w:line="360" w:lineRule="auto"/>
        <w:ind w:left="720" w:hanging="720"/>
        <w:jc w:val="both"/>
        <w:rPr>
          <w:rFonts w:ascii="Times New Roman" w:hAnsi="Times New Roman"/>
        </w:rPr>
      </w:pPr>
      <w:r w:rsidRPr="00FD1AA2">
        <w:rPr>
          <w:rFonts w:ascii="Times New Roman" w:hAnsi="Times New Roman"/>
        </w:rPr>
        <w:t>4.2.9</w:t>
      </w:r>
      <w:r w:rsidRPr="00FD1AA2">
        <w:rPr>
          <w:rFonts w:ascii="Times New Roman" w:hAnsi="Times New Roman"/>
        </w:rPr>
        <w:tab/>
        <w:t xml:space="preserve">The return on equity ratio of MBL was maximum ratio 14.30% in F.Y. 2062/063 and minimum ratio 4.13% in F.Y. 2066/067. The return on equity ratio was in decreasing trend. The mean ratio was 8.14% and C.V. between them was 41.44%. </w:t>
      </w:r>
    </w:p>
    <w:p w:rsidR="00DA4DD8" w:rsidRPr="00FD1AA2" w:rsidRDefault="00DA4DD8" w:rsidP="00FD1AA2">
      <w:pPr>
        <w:spacing w:after="240" w:line="360" w:lineRule="auto"/>
        <w:ind w:left="720" w:hanging="720"/>
        <w:jc w:val="both"/>
        <w:rPr>
          <w:rFonts w:ascii="Times New Roman" w:hAnsi="Times New Roman"/>
        </w:rPr>
      </w:pPr>
      <w:r w:rsidRPr="00FD1AA2">
        <w:rPr>
          <w:rFonts w:ascii="Times New Roman" w:hAnsi="Times New Roman"/>
        </w:rPr>
        <w:t>4.2.10</w:t>
      </w:r>
      <w:r w:rsidRPr="00FD1AA2">
        <w:rPr>
          <w:rFonts w:ascii="Times New Roman" w:hAnsi="Times New Roman"/>
        </w:rPr>
        <w:tab/>
        <w:t xml:space="preserve">The earning per share of MBL was minimum of Rs. 4.51 in F.Y. 2066/067 and maximum of Rs. 18.74 </w:t>
      </w:r>
      <w:r w:rsidR="00067A73">
        <w:rPr>
          <w:rFonts w:ascii="Times New Roman" w:hAnsi="Times New Roman"/>
        </w:rPr>
        <w:t>in F.Y. 2062/063. EPS of MBL has</w:t>
      </w:r>
      <w:r w:rsidRPr="00FD1AA2">
        <w:rPr>
          <w:rFonts w:ascii="Times New Roman" w:hAnsi="Times New Roman"/>
        </w:rPr>
        <w:t xml:space="preserve"> in decreasing trend. The</w:t>
      </w:r>
      <w:r w:rsidR="0033272B">
        <w:rPr>
          <w:rFonts w:ascii="Times New Roman" w:hAnsi="Times New Roman"/>
        </w:rPr>
        <w:t xml:space="preserve"> mean average of EPS was 10.07 </w:t>
      </w:r>
      <w:r w:rsidRPr="00FD1AA2">
        <w:rPr>
          <w:rFonts w:ascii="Times New Roman" w:hAnsi="Times New Roman"/>
        </w:rPr>
        <w:t xml:space="preserve">and C.V between them was 24.05%. </w:t>
      </w:r>
    </w:p>
    <w:p w:rsidR="00DA4DD8" w:rsidRPr="00FD1AA2" w:rsidRDefault="00DA4DD8" w:rsidP="00FD1AA2">
      <w:pPr>
        <w:spacing w:after="240" w:line="360" w:lineRule="auto"/>
        <w:ind w:left="720" w:hanging="720"/>
        <w:jc w:val="both"/>
        <w:rPr>
          <w:rFonts w:ascii="Times New Roman" w:hAnsi="Times New Roman"/>
        </w:rPr>
      </w:pPr>
      <w:r w:rsidRPr="00FD1AA2">
        <w:rPr>
          <w:rFonts w:ascii="Times New Roman" w:hAnsi="Times New Roman"/>
        </w:rPr>
        <w:t xml:space="preserve">4.2.11 </w:t>
      </w:r>
      <w:r w:rsidRPr="00FD1AA2">
        <w:rPr>
          <w:rFonts w:ascii="Times New Roman" w:hAnsi="Times New Roman"/>
        </w:rPr>
        <w:tab/>
        <w:t xml:space="preserve">The NRB balance to total deposit ratio of MBL </w:t>
      </w:r>
      <w:r w:rsidR="007C658C">
        <w:rPr>
          <w:rFonts w:ascii="Times New Roman" w:hAnsi="Times New Roman"/>
        </w:rPr>
        <w:t>was</w:t>
      </w:r>
      <w:r w:rsidRPr="00FD1AA2">
        <w:rPr>
          <w:rFonts w:ascii="Times New Roman" w:hAnsi="Times New Roman"/>
        </w:rPr>
        <w:t xml:space="preserve"> maximum in F.Y. 2065/066 with 11.25% and minimum in F.Y. 2066/067 with 5.91% balance at NRB had increased every fiscal year expect F.Y. 2066/067. The mean average of NRB balance to total deposit ratio was 7.94% and C.V. between them was 24.05%.</w:t>
      </w:r>
    </w:p>
    <w:p w:rsidR="00DA4DD8" w:rsidRPr="00FD1AA2" w:rsidRDefault="00DA4DD8" w:rsidP="00FD1AA2">
      <w:pPr>
        <w:spacing w:after="240" w:line="360" w:lineRule="auto"/>
        <w:ind w:left="720" w:hanging="720"/>
        <w:jc w:val="both"/>
        <w:rPr>
          <w:rFonts w:ascii="Times New Roman" w:hAnsi="Times New Roman"/>
        </w:rPr>
      </w:pPr>
      <w:r w:rsidRPr="00FD1AA2">
        <w:rPr>
          <w:rFonts w:ascii="Times New Roman" w:hAnsi="Times New Roman"/>
        </w:rPr>
        <w:t xml:space="preserve">4.2.12 </w:t>
      </w:r>
      <w:r w:rsidRPr="00FD1AA2">
        <w:rPr>
          <w:rFonts w:ascii="Times New Roman" w:hAnsi="Times New Roman"/>
        </w:rPr>
        <w:tab/>
        <w:t xml:space="preserve">The cash </w:t>
      </w:r>
      <w:r w:rsidR="00E56774">
        <w:rPr>
          <w:rFonts w:ascii="Times New Roman" w:hAnsi="Times New Roman"/>
        </w:rPr>
        <w:t>and bank balance ratio of MBL w</w:t>
      </w:r>
      <w:r w:rsidR="007C658C">
        <w:rPr>
          <w:rFonts w:ascii="Times New Roman" w:hAnsi="Times New Roman"/>
        </w:rPr>
        <w:t>as</w:t>
      </w:r>
      <w:r w:rsidRPr="00FD1AA2">
        <w:rPr>
          <w:rFonts w:ascii="Times New Roman" w:hAnsi="Times New Roman"/>
        </w:rPr>
        <w:t xml:space="preserve"> maximum in F.Y. 2065/066 with 17.74% and minimum in F.Y. 2062/063 with 10.31%. The cash and bank balance ratio had increased every fiscal year except F.Y. 2066/067. The mean average of CBR was 13.84% and C.V. between them was 17.2%. </w:t>
      </w:r>
    </w:p>
    <w:p w:rsidR="00DA4DD8" w:rsidRPr="00FD1AA2" w:rsidRDefault="00DA4DD8" w:rsidP="00FD1AA2">
      <w:pPr>
        <w:spacing w:after="240" w:line="360" w:lineRule="auto"/>
        <w:ind w:left="720" w:hanging="720"/>
        <w:jc w:val="both"/>
        <w:rPr>
          <w:rFonts w:ascii="Times New Roman" w:hAnsi="Times New Roman"/>
        </w:rPr>
      </w:pPr>
      <w:r w:rsidRPr="00FD1AA2">
        <w:rPr>
          <w:rFonts w:ascii="Times New Roman" w:hAnsi="Times New Roman"/>
        </w:rPr>
        <w:t>4.2.13</w:t>
      </w:r>
      <w:r w:rsidRPr="00FD1AA2">
        <w:rPr>
          <w:rFonts w:ascii="Times New Roman" w:hAnsi="Times New Roman"/>
        </w:rPr>
        <w:tab/>
        <w:t xml:space="preserve">The investment on government security ratio of MBL was maximum in F.Y. 2062/063 with 11.46% and minimum in F.Y. 2065/066 with 3.06%. The ratio was had decreased every fiscal year except F.Y. 2066/067. The mean average of IGSR was 8.25% and CV between them was 34.06%.  </w:t>
      </w:r>
    </w:p>
    <w:p w:rsidR="00DA4DD8" w:rsidRPr="00FD1AA2" w:rsidRDefault="00DA4DD8" w:rsidP="00FD1AA2">
      <w:pPr>
        <w:spacing w:after="240" w:line="360" w:lineRule="auto"/>
        <w:rPr>
          <w:rFonts w:ascii="Times New Roman" w:hAnsi="Times New Roman"/>
          <w:color w:val="000000"/>
          <w:sz w:val="26"/>
          <w:szCs w:val="26"/>
        </w:rPr>
      </w:pPr>
    </w:p>
    <w:p w:rsidR="00603F88" w:rsidRDefault="00603F88">
      <w:pPr>
        <w:spacing w:after="200" w:line="276" w:lineRule="auto"/>
        <w:rPr>
          <w:rFonts w:ascii="Times New Roman" w:hAnsi="Times New Roman"/>
          <w:b/>
          <w:caps/>
          <w:color w:val="000000"/>
          <w:sz w:val="28"/>
          <w:szCs w:val="26"/>
        </w:rPr>
      </w:pPr>
      <w:r>
        <w:rPr>
          <w:rFonts w:ascii="Times New Roman" w:hAnsi="Times New Roman"/>
          <w:b/>
          <w:caps/>
          <w:color w:val="000000"/>
          <w:sz w:val="28"/>
          <w:szCs w:val="26"/>
        </w:rPr>
        <w:br w:type="page"/>
      </w:r>
    </w:p>
    <w:p w:rsidR="00603F88" w:rsidRPr="00F134B2" w:rsidRDefault="00003DC0" w:rsidP="00603F88">
      <w:pPr>
        <w:spacing w:after="240" w:line="360" w:lineRule="auto"/>
        <w:jc w:val="center"/>
        <w:rPr>
          <w:rFonts w:ascii="Times New Roman" w:hAnsi="Times New Roman"/>
          <w:b/>
          <w:caps/>
          <w:sz w:val="32"/>
          <w:szCs w:val="32"/>
        </w:rPr>
      </w:pPr>
      <w:r>
        <w:rPr>
          <w:rFonts w:ascii="Times New Roman" w:hAnsi="Times New Roman"/>
          <w:b/>
          <w:caps/>
          <w:sz w:val="32"/>
          <w:szCs w:val="32"/>
        </w:rPr>
        <w:lastRenderedPageBreak/>
        <w:t xml:space="preserve">Chapter </w:t>
      </w:r>
      <w:r w:rsidR="00603F88" w:rsidRPr="00F134B2">
        <w:rPr>
          <w:rFonts w:ascii="Times New Roman" w:hAnsi="Times New Roman"/>
          <w:b/>
          <w:caps/>
          <w:sz w:val="32"/>
          <w:szCs w:val="32"/>
        </w:rPr>
        <w:t>V</w:t>
      </w:r>
    </w:p>
    <w:p w:rsidR="00603F88" w:rsidRPr="00F134B2" w:rsidRDefault="00603F88" w:rsidP="00603F88">
      <w:pPr>
        <w:spacing w:after="240" w:line="360" w:lineRule="auto"/>
        <w:jc w:val="center"/>
        <w:rPr>
          <w:rFonts w:ascii="Times New Roman" w:hAnsi="Times New Roman"/>
          <w:b/>
          <w:sz w:val="32"/>
          <w:szCs w:val="32"/>
        </w:rPr>
      </w:pPr>
      <w:r w:rsidRPr="00F134B2">
        <w:rPr>
          <w:rFonts w:ascii="Times New Roman" w:hAnsi="Times New Roman"/>
          <w:b/>
          <w:sz w:val="32"/>
          <w:szCs w:val="32"/>
        </w:rPr>
        <w:t xml:space="preserve">SUMMARY, CONCLUSION </w:t>
      </w:r>
      <w:smartTag w:uri="urn:schemas-microsoft-com:office:smarttags" w:element="stockticker">
        <w:r w:rsidRPr="00F134B2">
          <w:rPr>
            <w:rFonts w:ascii="Times New Roman" w:hAnsi="Times New Roman"/>
            <w:b/>
            <w:sz w:val="32"/>
            <w:szCs w:val="32"/>
          </w:rPr>
          <w:t>AND</w:t>
        </w:r>
      </w:smartTag>
      <w:r w:rsidRPr="00F134B2">
        <w:rPr>
          <w:rFonts w:ascii="Times New Roman" w:hAnsi="Times New Roman"/>
          <w:b/>
          <w:sz w:val="32"/>
          <w:szCs w:val="32"/>
        </w:rPr>
        <w:t xml:space="preserve"> RECOMMENDATION</w:t>
      </w:r>
    </w:p>
    <w:p w:rsidR="00603F88" w:rsidRPr="00603F88" w:rsidRDefault="00603F88" w:rsidP="00603F88">
      <w:pPr>
        <w:spacing w:after="240" w:line="360" w:lineRule="auto"/>
        <w:jc w:val="center"/>
        <w:rPr>
          <w:rFonts w:ascii="Times New Roman" w:hAnsi="Times New Roman"/>
          <w:b/>
        </w:rPr>
      </w:pPr>
    </w:p>
    <w:p w:rsidR="00603F88" w:rsidRPr="00603F88" w:rsidRDefault="00603F88" w:rsidP="00603F88">
      <w:pPr>
        <w:spacing w:after="240" w:line="360" w:lineRule="auto"/>
        <w:jc w:val="both"/>
        <w:rPr>
          <w:rFonts w:ascii="Times New Roman" w:hAnsi="Times New Roman"/>
        </w:rPr>
      </w:pPr>
      <w:r w:rsidRPr="00603F88">
        <w:rPr>
          <w:rFonts w:ascii="Times New Roman" w:hAnsi="Times New Roman"/>
        </w:rPr>
        <w:t>This chapter is divided in to three sections. The first section is summary, which describes the whole research in a summarized form. The second section is conclusion it lists the conclusions drawn from the analysis of the data for the study. The third section is recommendations. It includes necessary suggestions given to the authorize consideration to implementation.</w:t>
      </w:r>
    </w:p>
    <w:p w:rsidR="00603F88" w:rsidRPr="00F134B2" w:rsidRDefault="00603F88" w:rsidP="00603F88">
      <w:pPr>
        <w:spacing w:after="240" w:line="360" w:lineRule="auto"/>
        <w:jc w:val="both"/>
        <w:rPr>
          <w:rFonts w:ascii="Times New Roman" w:hAnsi="Times New Roman"/>
          <w:b/>
          <w:sz w:val="28"/>
        </w:rPr>
      </w:pPr>
      <w:r w:rsidRPr="00F134B2">
        <w:rPr>
          <w:rFonts w:ascii="Times New Roman" w:hAnsi="Times New Roman"/>
          <w:b/>
          <w:sz w:val="28"/>
        </w:rPr>
        <w:t xml:space="preserve">5.1 </w:t>
      </w:r>
      <w:r w:rsidR="003B566C" w:rsidRPr="00F134B2">
        <w:rPr>
          <w:rFonts w:ascii="Times New Roman" w:hAnsi="Times New Roman"/>
          <w:b/>
          <w:sz w:val="28"/>
        </w:rPr>
        <w:tab/>
      </w:r>
      <w:r w:rsidRPr="00F134B2">
        <w:rPr>
          <w:rFonts w:ascii="Times New Roman" w:hAnsi="Times New Roman"/>
          <w:b/>
          <w:sz w:val="28"/>
        </w:rPr>
        <w:t>Summary</w:t>
      </w:r>
    </w:p>
    <w:p w:rsidR="00603F88" w:rsidRPr="00603F88" w:rsidRDefault="00603F88" w:rsidP="00603F88">
      <w:pPr>
        <w:spacing w:after="240" w:line="360" w:lineRule="auto"/>
        <w:jc w:val="both"/>
        <w:rPr>
          <w:rFonts w:ascii="Times New Roman" w:hAnsi="Times New Roman"/>
        </w:rPr>
      </w:pPr>
      <w:r w:rsidRPr="00603F88">
        <w:rPr>
          <w:rFonts w:ascii="Times New Roman" w:hAnsi="Times New Roman"/>
        </w:rPr>
        <w:t xml:space="preserve">This study was carried out as academic requirements for MBS degree on the topic of “Financial Performance Analysis of </w:t>
      </w:r>
      <w:r w:rsidR="00AD71CB">
        <w:rPr>
          <w:rFonts w:ascii="Times New Roman" w:hAnsi="Times New Roman"/>
        </w:rPr>
        <w:t>Machhapuchhre</w:t>
      </w:r>
      <w:r w:rsidRPr="00603F88">
        <w:rPr>
          <w:rFonts w:ascii="Times New Roman" w:hAnsi="Times New Roman"/>
        </w:rPr>
        <w:t xml:space="preserve"> Bank Limited in the </w:t>
      </w:r>
      <w:r w:rsidR="00BD16E0" w:rsidRPr="00603F88">
        <w:rPr>
          <w:rFonts w:ascii="Times New Roman" w:hAnsi="Times New Roman"/>
        </w:rPr>
        <w:t>Framework</w:t>
      </w:r>
      <w:r w:rsidRPr="00603F88">
        <w:rPr>
          <w:rFonts w:ascii="Times New Roman" w:hAnsi="Times New Roman"/>
        </w:rPr>
        <w:t xml:space="preserve"> of CAMEL”. The study was started with the objective to find out the fact about financial performance of MBL. The analysis of financial statement is done to obtain a better insight in to firm’s position and performance. CAMEL is a technique of health checking of financial institutions. Financial institutions financial soundness is judged on the basis of capital adequacy, assets quality, management quality, earning quality and liquidity position. Almost, all the government Banks in Nepal are running at loss. Though almost private sector’s Banks are earning profit. It is very difficult to call them sound if appraised from CAMEL approach.</w:t>
      </w:r>
    </w:p>
    <w:p w:rsidR="00603F88" w:rsidRPr="00603F88" w:rsidRDefault="00AB51C1" w:rsidP="00603F88">
      <w:pPr>
        <w:spacing w:after="240" w:line="360" w:lineRule="auto"/>
        <w:jc w:val="both"/>
        <w:rPr>
          <w:rFonts w:ascii="Times New Roman" w:hAnsi="Times New Roman"/>
        </w:rPr>
      </w:pPr>
      <w:r>
        <w:rPr>
          <w:rFonts w:ascii="Times New Roman" w:hAnsi="Times New Roman"/>
          <w:noProof/>
          <w:lang w:bidi="ar-SA"/>
        </w:rPr>
        <w:pict>
          <v:shape id="_x0000_s1042" type="#_x0000_t202" style="position:absolute;left:0;text-align:left;margin-left:181.25pt;margin-top:206.4pt;width:75.7pt;height:36pt;z-index:251661312" stroked="f">
            <v:textbox>
              <w:txbxContent>
                <w:p w:rsidR="008C0E1D" w:rsidRDefault="008C0E1D"/>
              </w:txbxContent>
            </v:textbox>
          </v:shape>
        </w:pict>
      </w:r>
      <w:r w:rsidR="00603F88" w:rsidRPr="00603F88">
        <w:rPr>
          <w:rFonts w:ascii="Times New Roman" w:hAnsi="Times New Roman"/>
        </w:rPr>
        <w:t xml:space="preserve">FIs are introducing complex and innovative products, they are exposed to many risks and therefore more amplified as well as diversified the functions performed by the FIs supervision department. A key product of supervision is a rating of FIs overall condition, commonly related to as a CAMEL rating. CAMEL rating system is used by the three federal banking supervisions {The Federal Reserve, FDIC and office of the controller of the currency (OCC)} and other financial supervisory agencies to provide a convenient summary of FI conditions at the time of exam. Various studies have been conducted in the past on the financial analysis of commercial banks in the US and other regions were found done. In context of Nepalese banking environment, there are only few researchers conducted in the framework of CAMEL. The study </w:t>
      </w:r>
      <w:r w:rsidR="00603F88" w:rsidRPr="00603F88">
        <w:rPr>
          <w:rFonts w:ascii="Times New Roman" w:hAnsi="Times New Roman"/>
        </w:rPr>
        <w:lastRenderedPageBreak/>
        <w:t xml:space="preserve">aims to analyze financial performance of </w:t>
      </w:r>
      <w:r w:rsidR="00AD71CB">
        <w:rPr>
          <w:rFonts w:ascii="Times New Roman" w:hAnsi="Times New Roman"/>
        </w:rPr>
        <w:t>Machhapuchhre</w:t>
      </w:r>
      <w:r w:rsidR="00603F88" w:rsidRPr="00603F88">
        <w:rPr>
          <w:rFonts w:ascii="Times New Roman" w:hAnsi="Times New Roman"/>
        </w:rPr>
        <w:t xml:space="preserve"> Bank Limited in the famework of CAMEL over the five years period form FY 2062/063 to 2066/67. During the research the areas that formed part of the research review were outline of sample banks concept of financial performance analysis, concept of CAMEL rating system and component evaluation system, Basel capital accord, NRB guidelines. Besides these, review of research paper, work paper dissertations and related reports were reviewed.</w:t>
      </w:r>
    </w:p>
    <w:p w:rsidR="00603F88" w:rsidRPr="00603F88" w:rsidRDefault="00603F88" w:rsidP="00603F88">
      <w:pPr>
        <w:spacing w:after="240" w:line="360" w:lineRule="auto"/>
        <w:jc w:val="both"/>
        <w:rPr>
          <w:rFonts w:ascii="Times New Roman" w:hAnsi="Times New Roman"/>
        </w:rPr>
      </w:pPr>
      <w:r w:rsidRPr="00603F88">
        <w:rPr>
          <w:rFonts w:ascii="Times New Roman" w:hAnsi="Times New Roman"/>
        </w:rPr>
        <w:t>The research was conducted within the framework of descriptive and analytical design. For the study purpose MBL were chosen as a study unit applying convenience sampling as technique out of 31 commercial banks. The required data and information collected from secondary sources. Annual reports,</w:t>
      </w:r>
      <w:r w:rsidR="00BD16E0">
        <w:rPr>
          <w:rFonts w:ascii="Times New Roman" w:hAnsi="Times New Roman"/>
        </w:rPr>
        <w:t xml:space="preserve"> </w:t>
      </w:r>
      <w:r w:rsidRPr="00603F88">
        <w:rPr>
          <w:rFonts w:ascii="Times New Roman" w:hAnsi="Times New Roman"/>
        </w:rPr>
        <w:t>NRB Directive and Banking and financial statistics were used as the major sources of data. Financial ratios, simple mathematical and statistical tools have applied to get the meaningful results of the collected data in this research work.</w:t>
      </w:r>
    </w:p>
    <w:p w:rsidR="00603F88" w:rsidRPr="00603F88" w:rsidRDefault="00603F88" w:rsidP="00603F88">
      <w:pPr>
        <w:spacing w:after="240" w:line="360" w:lineRule="auto"/>
        <w:jc w:val="both"/>
        <w:rPr>
          <w:rFonts w:ascii="Times New Roman" w:hAnsi="Times New Roman"/>
        </w:rPr>
      </w:pPr>
      <w:r w:rsidRPr="00603F88">
        <w:rPr>
          <w:rFonts w:ascii="Times New Roman" w:hAnsi="Times New Roman"/>
        </w:rPr>
        <w:t>The core capital adequacy ratio, the supplementary capital adequacy ratio, and capital adequacy ratios conclude that the company is running with adequate capital. The non –performing loan ratios were below the standard so it reflected the good performance of the bank in mobilizing loan and advance. Total expenses to total income ratios were also in fluctuating trend where as earning per employees ratios were in decreasing trend which is not good sign on measure management quality. The return on equity</w:t>
      </w:r>
      <w:r w:rsidR="003B566C">
        <w:rPr>
          <w:rFonts w:ascii="Times New Roman" w:hAnsi="Times New Roman"/>
        </w:rPr>
        <w:t>,</w:t>
      </w:r>
      <w:r w:rsidRPr="00603F88">
        <w:rPr>
          <w:rFonts w:ascii="Times New Roman" w:hAnsi="Times New Roman"/>
        </w:rPr>
        <w:t xml:space="preserve"> return on asset ratios</w:t>
      </w:r>
      <w:r w:rsidR="00257CC2">
        <w:rPr>
          <w:rFonts w:ascii="Times New Roman" w:hAnsi="Times New Roman"/>
        </w:rPr>
        <w:t xml:space="preserve"> and earning per share</w:t>
      </w:r>
      <w:r w:rsidRPr="00603F88">
        <w:rPr>
          <w:rFonts w:ascii="Times New Roman" w:hAnsi="Times New Roman"/>
        </w:rPr>
        <w:t xml:space="preserve"> were in decreasing trend. </w:t>
      </w:r>
      <w:r w:rsidR="00FC2FCE">
        <w:rPr>
          <w:rFonts w:ascii="Times New Roman" w:hAnsi="Times New Roman"/>
        </w:rPr>
        <w:t>The liquidity position were in fluctuating trend.</w:t>
      </w:r>
    </w:p>
    <w:p w:rsidR="00603F88" w:rsidRDefault="00603F88" w:rsidP="00603F88">
      <w:pPr>
        <w:spacing w:after="240" w:line="360" w:lineRule="auto"/>
        <w:jc w:val="both"/>
        <w:rPr>
          <w:rFonts w:ascii="Times New Roman" w:hAnsi="Times New Roman"/>
        </w:rPr>
      </w:pPr>
      <w:r w:rsidRPr="00603F88">
        <w:rPr>
          <w:rFonts w:ascii="Times New Roman" w:hAnsi="Times New Roman"/>
        </w:rPr>
        <w:t>The analysis of data and results are presented clearly and simultaneously using sample tables and graphs. In summary following conclusions are drawn by the analysis of data.</w:t>
      </w:r>
    </w:p>
    <w:p w:rsidR="00F44EE7" w:rsidRPr="00C237FC" w:rsidRDefault="00F44EE7" w:rsidP="00F44EE7">
      <w:pPr>
        <w:spacing w:line="360" w:lineRule="auto"/>
        <w:jc w:val="both"/>
        <w:rPr>
          <w:rFonts w:ascii="Times New Roman" w:hAnsi="Times New Roman"/>
          <w:b/>
          <w:sz w:val="28"/>
        </w:rPr>
      </w:pPr>
      <w:r w:rsidRPr="00C237FC">
        <w:rPr>
          <w:rFonts w:ascii="Times New Roman" w:hAnsi="Times New Roman"/>
          <w:b/>
          <w:sz w:val="28"/>
        </w:rPr>
        <w:t xml:space="preserve">5.2 </w:t>
      </w:r>
      <w:r w:rsidRPr="00C237FC">
        <w:rPr>
          <w:rFonts w:ascii="Times New Roman" w:hAnsi="Times New Roman"/>
          <w:b/>
          <w:sz w:val="28"/>
        </w:rPr>
        <w:tab/>
        <w:t xml:space="preserve">Conclusions </w:t>
      </w:r>
    </w:p>
    <w:p w:rsidR="00F44EE7" w:rsidRPr="004D1CDE" w:rsidRDefault="00F44EE7" w:rsidP="00F44EE7">
      <w:pPr>
        <w:spacing w:line="360" w:lineRule="auto"/>
        <w:jc w:val="both"/>
        <w:rPr>
          <w:rFonts w:ascii="Times New Roman" w:hAnsi="Times New Roman"/>
        </w:rPr>
      </w:pPr>
      <w:r w:rsidRPr="004D1CDE">
        <w:rPr>
          <w:rFonts w:ascii="Times New Roman" w:hAnsi="Times New Roman"/>
        </w:rPr>
        <w:t>Based on the findings of the study following conclusions have been drawn.</w:t>
      </w:r>
    </w:p>
    <w:p w:rsidR="00F44EE7" w:rsidRPr="003C2002" w:rsidRDefault="00F44EE7" w:rsidP="0023606D">
      <w:pPr>
        <w:pStyle w:val="ListParagraph"/>
        <w:numPr>
          <w:ilvl w:val="0"/>
          <w:numId w:val="33"/>
        </w:numPr>
        <w:spacing w:after="240" w:line="360" w:lineRule="auto"/>
        <w:contextualSpacing w:val="0"/>
        <w:jc w:val="both"/>
        <w:rPr>
          <w:rFonts w:ascii="Times New Roman" w:hAnsi="Times New Roman"/>
        </w:rPr>
      </w:pPr>
      <w:r w:rsidRPr="003C2002">
        <w:rPr>
          <w:rFonts w:ascii="Times New Roman" w:hAnsi="Times New Roman"/>
        </w:rPr>
        <w:t>Core Capital Adequacy Ratio of MBL was above the NRB standard ratio were excess in all FY. The banks CAR variated positively NRB standard during the review period. In this point of view</w:t>
      </w:r>
      <w:r w:rsidR="0023606D">
        <w:rPr>
          <w:rFonts w:ascii="Times New Roman" w:hAnsi="Times New Roman"/>
        </w:rPr>
        <w:t xml:space="preserve"> </w:t>
      </w:r>
      <w:r w:rsidRPr="003C2002">
        <w:rPr>
          <w:rFonts w:ascii="Times New Roman" w:hAnsi="Times New Roman"/>
        </w:rPr>
        <w:t xml:space="preserve">MBL was financially strong. The capital </w:t>
      </w:r>
      <w:r w:rsidRPr="003C2002">
        <w:rPr>
          <w:rFonts w:ascii="Times New Roman" w:hAnsi="Times New Roman"/>
        </w:rPr>
        <w:lastRenderedPageBreak/>
        <w:t xml:space="preserve">fund of the company is sound. This means the bank had properly maintained its internal sources or core capital during the past five years. </w:t>
      </w:r>
    </w:p>
    <w:p w:rsidR="00F44EE7" w:rsidRPr="003C2002" w:rsidRDefault="00F44EE7" w:rsidP="0023606D">
      <w:pPr>
        <w:pStyle w:val="ListParagraph"/>
        <w:numPr>
          <w:ilvl w:val="0"/>
          <w:numId w:val="33"/>
        </w:numPr>
        <w:spacing w:after="240" w:line="360" w:lineRule="auto"/>
        <w:contextualSpacing w:val="0"/>
        <w:jc w:val="both"/>
        <w:rPr>
          <w:rFonts w:ascii="Times New Roman" w:hAnsi="Times New Roman"/>
        </w:rPr>
      </w:pPr>
      <w:r w:rsidRPr="003C2002">
        <w:rPr>
          <w:rFonts w:ascii="Times New Roman" w:hAnsi="Times New Roman"/>
        </w:rPr>
        <w:t xml:space="preserve">Supplementary capital Adequate Ratio of MBL had maintained the supplementary capital adequacy ratios as per the NRB standard during the study period. As compared to the NRB standard ratio were short in all FY. It means the bank was running with adequate capital in all fiscal years and the capital fund of the MBL is sound. </w:t>
      </w:r>
    </w:p>
    <w:p w:rsidR="00F44EE7" w:rsidRPr="003C2002" w:rsidRDefault="00F44EE7" w:rsidP="00F44EE7">
      <w:pPr>
        <w:pStyle w:val="ListParagraph"/>
        <w:numPr>
          <w:ilvl w:val="0"/>
          <w:numId w:val="33"/>
        </w:numPr>
        <w:spacing w:after="240" w:line="360" w:lineRule="auto"/>
        <w:contextualSpacing w:val="0"/>
        <w:jc w:val="both"/>
        <w:rPr>
          <w:rFonts w:ascii="Times New Roman" w:hAnsi="Times New Roman"/>
        </w:rPr>
      </w:pPr>
      <w:r w:rsidRPr="003C2002">
        <w:rPr>
          <w:rFonts w:ascii="Times New Roman" w:hAnsi="Times New Roman"/>
        </w:rPr>
        <w:t xml:space="preserve">Capital Adequacy ratio of MBL was fluctuating over the study period. As compared to the NRB standard. ratios were excess in all the fiscal years. It showed that bank had maintained on adequate capital adequacy ratio each year of the study period. </w:t>
      </w:r>
    </w:p>
    <w:p w:rsidR="00F44EE7" w:rsidRPr="003C2002" w:rsidRDefault="00F44EE7" w:rsidP="00F44EE7">
      <w:pPr>
        <w:pStyle w:val="ListParagraph"/>
        <w:numPr>
          <w:ilvl w:val="0"/>
          <w:numId w:val="33"/>
        </w:numPr>
        <w:spacing w:after="240" w:line="360" w:lineRule="auto"/>
        <w:contextualSpacing w:val="0"/>
        <w:jc w:val="both"/>
        <w:rPr>
          <w:rFonts w:ascii="Times New Roman" w:hAnsi="Times New Roman"/>
        </w:rPr>
      </w:pPr>
      <w:r w:rsidRPr="003C2002">
        <w:rPr>
          <w:rFonts w:ascii="Times New Roman" w:hAnsi="Times New Roman"/>
        </w:rPr>
        <w:t xml:space="preserve">The non-performing loan to total loan and advance of MBL are fluctuating trend over the study period. NPL ratio were below the international standard i.e. 5%. It shows the efficient credit management and low credit risk. The NPL ratios of MBL showed that MBL was strong in non-performing loan. </w:t>
      </w:r>
    </w:p>
    <w:p w:rsidR="00F44EE7" w:rsidRDefault="00F44EE7" w:rsidP="00F44EE7">
      <w:pPr>
        <w:pStyle w:val="ListParagraph"/>
        <w:numPr>
          <w:ilvl w:val="0"/>
          <w:numId w:val="33"/>
        </w:numPr>
        <w:spacing w:after="240" w:line="360" w:lineRule="auto"/>
        <w:contextualSpacing w:val="0"/>
        <w:jc w:val="both"/>
        <w:rPr>
          <w:rFonts w:ascii="Times New Roman" w:hAnsi="Times New Roman"/>
        </w:rPr>
      </w:pPr>
      <w:r w:rsidRPr="0053636D">
        <w:rPr>
          <w:rFonts w:ascii="Times New Roman" w:hAnsi="Times New Roman"/>
        </w:rPr>
        <w:t xml:space="preserve">The loan loss coverage ratio of MBL was in fluctuating over the study period. </w:t>
      </w:r>
      <w:r>
        <w:rPr>
          <w:rFonts w:ascii="Times New Roman" w:hAnsi="Times New Roman"/>
        </w:rPr>
        <w:t>It indicates that the quality of loans becoming degrading year by year. It seems that amount of non-performing loans and possibility of default in future is increasing.</w:t>
      </w:r>
    </w:p>
    <w:p w:rsidR="00F44EE7" w:rsidRPr="0053636D" w:rsidRDefault="00F44EE7" w:rsidP="00F44EE7">
      <w:pPr>
        <w:pStyle w:val="ListParagraph"/>
        <w:numPr>
          <w:ilvl w:val="0"/>
          <w:numId w:val="33"/>
        </w:numPr>
        <w:spacing w:after="240" w:line="360" w:lineRule="auto"/>
        <w:contextualSpacing w:val="0"/>
        <w:jc w:val="both"/>
        <w:rPr>
          <w:rFonts w:ascii="Times New Roman" w:hAnsi="Times New Roman"/>
        </w:rPr>
      </w:pPr>
      <w:r w:rsidRPr="0053636D">
        <w:rPr>
          <w:rFonts w:ascii="Times New Roman" w:hAnsi="Times New Roman"/>
        </w:rPr>
        <w:t xml:space="preserve">The total expenses to total income ratio were in fluctuating but increasing trend. It means the expenses in increasing with income. It indicated that the management inefficiencies is increasing. The increasing trend will positively affect the bank's profitability in future. </w:t>
      </w:r>
    </w:p>
    <w:p w:rsidR="00F44EE7" w:rsidRPr="003C2002" w:rsidRDefault="00F44EE7" w:rsidP="00F44EE7">
      <w:pPr>
        <w:pStyle w:val="ListParagraph"/>
        <w:numPr>
          <w:ilvl w:val="0"/>
          <w:numId w:val="33"/>
        </w:numPr>
        <w:spacing w:after="240" w:line="360" w:lineRule="auto"/>
        <w:contextualSpacing w:val="0"/>
        <w:jc w:val="both"/>
        <w:rPr>
          <w:rFonts w:ascii="Times New Roman" w:hAnsi="Times New Roman"/>
        </w:rPr>
      </w:pPr>
      <w:r w:rsidRPr="003C2002">
        <w:rPr>
          <w:rFonts w:ascii="Times New Roman" w:hAnsi="Times New Roman"/>
        </w:rPr>
        <w:t xml:space="preserve">The earning per employee of MBL was in decreasing  trend. Net profit is the result interest income and non-interest income by deducting all type of expenses. It depict inefficiencies as a result of over staffing and increasing trend of overall expenses. </w:t>
      </w:r>
    </w:p>
    <w:p w:rsidR="00F44EE7" w:rsidRPr="003C2002" w:rsidRDefault="00F44EE7" w:rsidP="00F44EE7">
      <w:pPr>
        <w:pStyle w:val="ListParagraph"/>
        <w:numPr>
          <w:ilvl w:val="0"/>
          <w:numId w:val="33"/>
        </w:numPr>
        <w:spacing w:after="240" w:line="360" w:lineRule="auto"/>
        <w:contextualSpacing w:val="0"/>
        <w:jc w:val="both"/>
        <w:rPr>
          <w:rFonts w:ascii="Times New Roman" w:hAnsi="Times New Roman"/>
        </w:rPr>
      </w:pPr>
      <w:r w:rsidRPr="003C2002">
        <w:rPr>
          <w:rFonts w:ascii="Times New Roman" w:hAnsi="Times New Roman"/>
        </w:rPr>
        <w:lastRenderedPageBreak/>
        <w:t xml:space="preserve">The return on asset ratio of MBL was in decreasing trend with some fluctuation during the study period. The ROA shows that the capacity of management to convert the bank's assets into earning is not adequate. </w:t>
      </w:r>
    </w:p>
    <w:p w:rsidR="00F44EE7" w:rsidRPr="003C2002" w:rsidRDefault="00F44EE7" w:rsidP="00F44EE7">
      <w:pPr>
        <w:pStyle w:val="ListParagraph"/>
        <w:numPr>
          <w:ilvl w:val="0"/>
          <w:numId w:val="33"/>
        </w:numPr>
        <w:spacing w:after="240" w:line="360" w:lineRule="auto"/>
        <w:contextualSpacing w:val="0"/>
        <w:jc w:val="both"/>
        <w:rPr>
          <w:rFonts w:ascii="Times New Roman" w:hAnsi="Times New Roman"/>
        </w:rPr>
      </w:pPr>
      <w:r w:rsidRPr="003C2002">
        <w:rPr>
          <w:rFonts w:ascii="Times New Roman" w:hAnsi="Times New Roman"/>
        </w:rPr>
        <w:t xml:space="preserve">The return on equity ratio of MBL was in decreasing trend with some fluctuations. It shows that the return flowing to the bank's shareholders is not satisfactory and acceptable. </w:t>
      </w:r>
    </w:p>
    <w:p w:rsidR="00F44EE7" w:rsidRPr="003C2002" w:rsidRDefault="00F44EE7" w:rsidP="00F44EE7">
      <w:pPr>
        <w:pStyle w:val="ListParagraph"/>
        <w:numPr>
          <w:ilvl w:val="0"/>
          <w:numId w:val="33"/>
        </w:numPr>
        <w:spacing w:after="240" w:line="360" w:lineRule="auto"/>
        <w:contextualSpacing w:val="0"/>
        <w:jc w:val="both"/>
        <w:rPr>
          <w:rFonts w:ascii="Times New Roman" w:hAnsi="Times New Roman"/>
        </w:rPr>
      </w:pPr>
      <w:r w:rsidRPr="003C2002">
        <w:rPr>
          <w:rFonts w:ascii="Times New Roman" w:hAnsi="Times New Roman"/>
        </w:rPr>
        <w:t xml:space="preserve">The earning per share of MBL was in decreasing trend with some fluctuation. Its shows that the return flowing to the bank's owner is not good enough and satisfactory. </w:t>
      </w:r>
    </w:p>
    <w:p w:rsidR="00F44EE7" w:rsidRPr="003C2002" w:rsidRDefault="00F44EE7" w:rsidP="00F44EE7">
      <w:pPr>
        <w:pStyle w:val="ListParagraph"/>
        <w:numPr>
          <w:ilvl w:val="0"/>
          <w:numId w:val="33"/>
        </w:numPr>
        <w:spacing w:after="240" w:line="360" w:lineRule="auto"/>
        <w:contextualSpacing w:val="0"/>
        <w:jc w:val="both"/>
        <w:rPr>
          <w:rFonts w:ascii="Times New Roman" w:hAnsi="Times New Roman"/>
        </w:rPr>
      </w:pPr>
      <w:r w:rsidRPr="003C2002">
        <w:rPr>
          <w:rFonts w:ascii="Times New Roman" w:hAnsi="Times New Roman"/>
        </w:rPr>
        <w:t xml:space="preserve">The NRB balance to total deposit ratio of MBL were in fluctuating trend. The ratios were increasing up to FY 2065/066 and thereafter the ratio were decrease on final year. Its shows that there is greater element of risk in the liquidity as measured by CRR. It effects on lending and profit. </w:t>
      </w:r>
    </w:p>
    <w:p w:rsidR="00F44EE7" w:rsidRPr="003C2002" w:rsidRDefault="00F44EE7" w:rsidP="00F44EE7">
      <w:pPr>
        <w:pStyle w:val="ListParagraph"/>
        <w:numPr>
          <w:ilvl w:val="0"/>
          <w:numId w:val="33"/>
        </w:numPr>
        <w:spacing w:after="240" w:line="360" w:lineRule="auto"/>
        <w:contextualSpacing w:val="0"/>
        <w:jc w:val="both"/>
        <w:rPr>
          <w:rFonts w:ascii="Times New Roman" w:hAnsi="Times New Roman"/>
        </w:rPr>
      </w:pPr>
      <w:r w:rsidRPr="003C2002">
        <w:rPr>
          <w:rFonts w:ascii="Times New Roman" w:hAnsi="Times New Roman"/>
        </w:rPr>
        <w:t xml:space="preserve">The cash and bank balance ratio of MBL were in fluctuating trend. The  ratios were increasing up to FY 2065/066 and than the ratio were decrease in final year. It shows that the position of MBL seems stronger in previous year but decreasing trend in final year. It indicates that there is greater element of risk effect on lending and profit. </w:t>
      </w:r>
    </w:p>
    <w:p w:rsidR="00F44EE7" w:rsidRPr="003C2002" w:rsidRDefault="00F44EE7" w:rsidP="00F44EE7">
      <w:pPr>
        <w:pStyle w:val="ListParagraph"/>
        <w:numPr>
          <w:ilvl w:val="0"/>
          <w:numId w:val="33"/>
        </w:numPr>
        <w:spacing w:after="240" w:line="360" w:lineRule="auto"/>
        <w:contextualSpacing w:val="0"/>
        <w:jc w:val="both"/>
        <w:rPr>
          <w:rFonts w:ascii="Times New Roman" w:hAnsi="Times New Roman"/>
        </w:rPr>
      </w:pPr>
      <w:r w:rsidRPr="003C2002">
        <w:rPr>
          <w:rFonts w:ascii="Times New Roman" w:hAnsi="Times New Roman"/>
        </w:rPr>
        <w:t xml:space="preserve">The investment on government security ratio of MBL was decreasing up to FY 2065/066 and thereafter the ratio wer  increase in final year. IGSR ratio of MBL has good liquidity position in last year's with compare to the previous year. It shows that  the investment of MBL secured in Last year as compared with previous years or investment of MBL is less risky. So, we can say liquidity position was improving in last final year. </w:t>
      </w:r>
    </w:p>
    <w:p w:rsidR="00F44EE7" w:rsidRDefault="00F44EE7" w:rsidP="00F44EE7">
      <w:pPr>
        <w:rPr>
          <w:rFonts w:ascii="Times New Roman" w:hAnsi="Times New Roman"/>
          <w:b/>
          <w:sz w:val="28"/>
        </w:rPr>
      </w:pPr>
    </w:p>
    <w:p w:rsidR="00F44EE7" w:rsidRPr="000007AE" w:rsidRDefault="00F44EE7" w:rsidP="00F44EE7">
      <w:pPr>
        <w:pStyle w:val="ListParagraph"/>
        <w:spacing w:after="240" w:line="360" w:lineRule="auto"/>
        <w:ind w:left="0"/>
        <w:contextualSpacing w:val="0"/>
        <w:jc w:val="both"/>
        <w:rPr>
          <w:rFonts w:ascii="Times New Roman" w:hAnsi="Times New Roman"/>
          <w:b/>
        </w:rPr>
      </w:pPr>
      <w:r w:rsidRPr="000007AE">
        <w:rPr>
          <w:rFonts w:ascii="Times New Roman" w:hAnsi="Times New Roman"/>
          <w:b/>
        </w:rPr>
        <w:t>5.3</w:t>
      </w:r>
      <w:r w:rsidRPr="000007AE">
        <w:rPr>
          <w:rFonts w:ascii="Times New Roman" w:hAnsi="Times New Roman"/>
          <w:b/>
        </w:rPr>
        <w:tab/>
        <w:t>Recommendations</w:t>
      </w:r>
    </w:p>
    <w:p w:rsidR="00F44EE7" w:rsidRPr="003C2002" w:rsidRDefault="00F44EE7" w:rsidP="0014232A">
      <w:pPr>
        <w:pStyle w:val="ListParagraph"/>
        <w:numPr>
          <w:ilvl w:val="0"/>
          <w:numId w:val="34"/>
        </w:numPr>
        <w:spacing w:after="240" w:line="360" w:lineRule="auto"/>
        <w:contextualSpacing w:val="0"/>
        <w:jc w:val="both"/>
        <w:rPr>
          <w:rFonts w:ascii="Times New Roman" w:hAnsi="Times New Roman"/>
        </w:rPr>
      </w:pPr>
      <w:r w:rsidRPr="003C2002">
        <w:rPr>
          <w:rFonts w:ascii="Times New Roman" w:hAnsi="Times New Roman"/>
        </w:rPr>
        <w:t xml:space="preserve">Capital adequacy ratio of MBL was sound and strong. CAR was above the NRB standard. So, it can be recommended that the bank should continue to </w:t>
      </w:r>
      <w:r w:rsidRPr="003C2002">
        <w:rPr>
          <w:rFonts w:ascii="Times New Roman" w:hAnsi="Times New Roman"/>
        </w:rPr>
        <w:lastRenderedPageBreak/>
        <w:t>maintain stable capital adequacy ratio for the financial sustainability. The trend of CAR should not be below than the NRB standard.</w:t>
      </w:r>
    </w:p>
    <w:p w:rsidR="00F44EE7" w:rsidRPr="003C2002" w:rsidRDefault="00F44EE7" w:rsidP="00F44EE7">
      <w:pPr>
        <w:pStyle w:val="ListParagraph"/>
        <w:numPr>
          <w:ilvl w:val="0"/>
          <w:numId w:val="34"/>
        </w:numPr>
        <w:spacing w:after="240" w:line="360" w:lineRule="auto"/>
        <w:contextualSpacing w:val="0"/>
        <w:jc w:val="both"/>
        <w:rPr>
          <w:rFonts w:ascii="Times New Roman" w:hAnsi="Times New Roman"/>
        </w:rPr>
      </w:pPr>
      <w:r w:rsidRPr="003C2002">
        <w:rPr>
          <w:rFonts w:ascii="Times New Roman" w:hAnsi="Times New Roman"/>
        </w:rPr>
        <w:t>Non-performing loan of MBL is observed in the fluctuation trend. So, it is can recommended that the disbursement process of loan should be made effective by minimizing the portion of NPA.</w:t>
      </w:r>
    </w:p>
    <w:p w:rsidR="00F44EE7" w:rsidRPr="003C2002" w:rsidRDefault="00F44EE7" w:rsidP="00F44EE7">
      <w:pPr>
        <w:pStyle w:val="ListParagraph"/>
        <w:numPr>
          <w:ilvl w:val="0"/>
          <w:numId w:val="34"/>
        </w:numPr>
        <w:spacing w:after="240" w:line="360" w:lineRule="auto"/>
        <w:contextualSpacing w:val="0"/>
        <w:jc w:val="both"/>
        <w:rPr>
          <w:rFonts w:ascii="Times New Roman" w:hAnsi="Times New Roman"/>
        </w:rPr>
      </w:pPr>
      <w:r w:rsidRPr="003C2002">
        <w:rPr>
          <w:rFonts w:ascii="Times New Roman" w:hAnsi="Times New Roman"/>
        </w:rPr>
        <w:t>Loan</w:t>
      </w:r>
      <w:r w:rsidR="00FD5D64">
        <w:rPr>
          <w:rFonts w:ascii="Times New Roman" w:hAnsi="Times New Roman"/>
        </w:rPr>
        <w:t xml:space="preserve"> loss coverage ra</w:t>
      </w:r>
      <w:r w:rsidR="009275AC">
        <w:rPr>
          <w:rFonts w:ascii="Times New Roman" w:hAnsi="Times New Roman"/>
        </w:rPr>
        <w:t>t</w:t>
      </w:r>
      <w:r w:rsidR="00FD5D64">
        <w:rPr>
          <w:rFonts w:ascii="Times New Roman" w:hAnsi="Times New Roman"/>
        </w:rPr>
        <w:t>io of MBL was</w:t>
      </w:r>
      <w:r w:rsidRPr="003C2002">
        <w:rPr>
          <w:rFonts w:ascii="Times New Roman" w:hAnsi="Times New Roman"/>
        </w:rPr>
        <w:t xml:space="preserve"> in increasing trend during the study period. So, it can be recommended that bank should follow effective credit analysis procedure. </w:t>
      </w:r>
    </w:p>
    <w:p w:rsidR="00F44EE7" w:rsidRPr="003C2002" w:rsidRDefault="00F44EE7" w:rsidP="00F44EE7">
      <w:pPr>
        <w:pStyle w:val="ListParagraph"/>
        <w:numPr>
          <w:ilvl w:val="0"/>
          <w:numId w:val="34"/>
        </w:numPr>
        <w:spacing w:after="240" w:line="360" w:lineRule="auto"/>
        <w:contextualSpacing w:val="0"/>
        <w:jc w:val="both"/>
        <w:rPr>
          <w:rFonts w:ascii="Times New Roman" w:hAnsi="Times New Roman"/>
        </w:rPr>
      </w:pPr>
      <w:r w:rsidRPr="003C2002">
        <w:rPr>
          <w:rFonts w:ascii="Times New Roman" w:hAnsi="Times New Roman"/>
        </w:rPr>
        <w:t>Total expenses t</w:t>
      </w:r>
      <w:r w:rsidR="00FD5D64">
        <w:rPr>
          <w:rFonts w:ascii="Times New Roman" w:hAnsi="Times New Roman"/>
        </w:rPr>
        <w:t>o total income ratio of MBL was</w:t>
      </w:r>
      <w:r w:rsidRPr="003C2002">
        <w:rPr>
          <w:rFonts w:ascii="Times New Roman" w:hAnsi="Times New Roman"/>
        </w:rPr>
        <w:t xml:space="preserve"> in fluctuating trend. So, it can be recommended that the management of the bank should try to reduce the unnecessary overhead expenses. </w:t>
      </w:r>
    </w:p>
    <w:p w:rsidR="00F44EE7" w:rsidRPr="003C2002" w:rsidRDefault="00FD5D64" w:rsidP="00F44EE7">
      <w:pPr>
        <w:pStyle w:val="ListParagraph"/>
        <w:numPr>
          <w:ilvl w:val="0"/>
          <w:numId w:val="34"/>
        </w:numPr>
        <w:spacing w:after="240" w:line="360" w:lineRule="auto"/>
        <w:contextualSpacing w:val="0"/>
        <w:jc w:val="both"/>
        <w:rPr>
          <w:rFonts w:ascii="Times New Roman" w:hAnsi="Times New Roman"/>
        </w:rPr>
      </w:pPr>
      <w:r>
        <w:rPr>
          <w:rFonts w:ascii="Times New Roman" w:hAnsi="Times New Roman"/>
        </w:rPr>
        <w:t>Earning employee of MBL was</w:t>
      </w:r>
      <w:r w:rsidR="00F44EE7" w:rsidRPr="003C2002">
        <w:rPr>
          <w:rFonts w:ascii="Times New Roman" w:hAnsi="Times New Roman"/>
        </w:rPr>
        <w:t xml:space="preserve"> in decreasing trend during the study period. So, it can be recommended that The bank should substantially increase the volume of profit by adopting new business strategy. </w:t>
      </w:r>
    </w:p>
    <w:p w:rsidR="00F44EE7" w:rsidRPr="006F3B95" w:rsidRDefault="00F44EE7" w:rsidP="00F44EE7">
      <w:pPr>
        <w:pStyle w:val="ListParagraph"/>
        <w:numPr>
          <w:ilvl w:val="0"/>
          <w:numId w:val="34"/>
        </w:numPr>
        <w:spacing w:after="240" w:line="360" w:lineRule="auto"/>
        <w:contextualSpacing w:val="0"/>
        <w:jc w:val="both"/>
        <w:rPr>
          <w:rFonts w:ascii="Times New Roman" w:hAnsi="Times New Roman"/>
          <w:sz w:val="28"/>
        </w:rPr>
      </w:pPr>
      <w:r w:rsidRPr="006F3B95">
        <w:rPr>
          <w:rFonts w:ascii="Times New Roman" w:hAnsi="Times New Roman"/>
        </w:rPr>
        <w:t xml:space="preserve">The earning quality ratio i.e. return on asset, return on equity and earning per share were in decreasing trend. Without profit bank's cannot service and grow up. So it is recommended to increase its yield as its net profit to gain the trust and confidence of the equity holder and other stakeholders. </w:t>
      </w:r>
    </w:p>
    <w:p w:rsidR="00F44EE7" w:rsidRPr="006F3B95" w:rsidRDefault="00F44EE7" w:rsidP="00F44EE7">
      <w:pPr>
        <w:pStyle w:val="ListParagraph"/>
        <w:numPr>
          <w:ilvl w:val="0"/>
          <w:numId w:val="34"/>
        </w:numPr>
        <w:spacing w:after="240" w:line="360" w:lineRule="auto"/>
        <w:contextualSpacing w:val="0"/>
        <w:jc w:val="both"/>
        <w:rPr>
          <w:rFonts w:ascii="Times New Roman" w:hAnsi="Times New Roman"/>
          <w:sz w:val="28"/>
        </w:rPr>
      </w:pPr>
      <w:r w:rsidRPr="006F3B95">
        <w:rPr>
          <w:rFonts w:ascii="Times New Roman" w:hAnsi="Times New Roman"/>
        </w:rPr>
        <w:t>As the li</w:t>
      </w:r>
      <w:r w:rsidR="00FD5D64">
        <w:rPr>
          <w:rFonts w:ascii="Times New Roman" w:hAnsi="Times New Roman"/>
        </w:rPr>
        <w:t>quidity position of the MBL was</w:t>
      </w:r>
      <w:r w:rsidRPr="006F3B95">
        <w:rPr>
          <w:rFonts w:ascii="Times New Roman" w:hAnsi="Times New Roman"/>
        </w:rPr>
        <w:t xml:space="preserve"> in fluctuating trend. MBL has been able to maintain strong liquidity position in previous year but decreasing trend in final year. So, the management of MBL is recommended to be launching different deposit products as per the desire of customer to increase the deposit. The NRB is advised to be effective in monitoring of the commercial bank to protection of shareholders and public interest ensured.   </w:t>
      </w:r>
    </w:p>
    <w:p w:rsidR="00F44EE7" w:rsidRPr="00603F88" w:rsidRDefault="00F44EE7" w:rsidP="00603F88">
      <w:pPr>
        <w:spacing w:after="240" w:line="360" w:lineRule="auto"/>
        <w:jc w:val="both"/>
        <w:rPr>
          <w:rFonts w:ascii="Times New Roman" w:hAnsi="Times New Roman"/>
        </w:rPr>
      </w:pPr>
    </w:p>
    <w:p w:rsidR="000007AE" w:rsidRDefault="000007AE">
      <w:pPr>
        <w:spacing w:after="200" w:line="276" w:lineRule="auto"/>
        <w:rPr>
          <w:rFonts w:ascii="Times New Roman" w:hAnsi="Times New Roman"/>
          <w:b/>
          <w:caps/>
          <w:color w:val="000000"/>
          <w:sz w:val="28"/>
          <w:szCs w:val="26"/>
        </w:rPr>
      </w:pPr>
      <w:r>
        <w:rPr>
          <w:rFonts w:ascii="Times New Roman" w:hAnsi="Times New Roman"/>
          <w:b/>
          <w:caps/>
          <w:color w:val="000000"/>
          <w:sz w:val="28"/>
          <w:szCs w:val="26"/>
        </w:rPr>
        <w:br w:type="page"/>
      </w:r>
    </w:p>
    <w:p w:rsidR="00DA4DD8" w:rsidRPr="00FD1AA2" w:rsidRDefault="00DA4DD8" w:rsidP="00FD1AA2">
      <w:pPr>
        <w:spacing w:after="240" w:line="360" w:lineRule="auto"/>
        <w:jc w:val="center"/>
        <w:rPr>
          <w:rFonts w:ascii="Times New Roman" w:hAnsi="Times New Roman"/>
          <w:b/>
          <w:caps/>
          <w:color w:val="000000"/>
          <w:sz w:val="28"/>
          <w:szCs w:val="26"/>
        </w:rPr>
      </w:pPr>
      <w:r w:rsidRPr="00FD1AA2">
        <w:rPr>
          <w:rFonts w:ascii="Times New Roman" w:hAnsi="Times New Roman"/>
          <w:b/>
          <w:caps/>
          <w:color w:val="000000"/>
          <w:sz w:val="28"/>
          <w:szCs w:val="26"/>
        </w:rPr>
        <w:lastRenderedPageBreak/>
        <w:t>Bibliography</w:t>
      </w:r>
    </w:p>
    <w:p w:rsidR="00C97708" w:rsidRPr="0059038E"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t xml:space="preserve">Atikogullari, M. (2009),  </w:t>
      </w:r>
      <w:r w:rsidRPr="00856872">
        <w:rPr>
          <w:rFonts w:ascii="Times New Roman" w:hAnsi="Times New Roman"/>
          <w:color w:val="000000"/>
          <w:sz w:val="26"/>
          <w:szCs w:val="26"/>
        </w:rPr>
        <w:t>An analysis of the Northern Cyprus Banking Sector in the post 2001 period through the CAMELS Approach</w:t>
      </w:r>
      <w:r w:rsidRPr="0059038E">
        <w:rPr>
          <w:rFonts w:ascii="Times New Roman" w:hAnsi="Times New Roman"/>
          <w:color w:val="000000"/>
          <w:sz w:val="26"/>
          <w:szCs w:val="26"/>
        </w:rPr>
        <w:t xml:space="preserve">, </w:t>
      </w:r>
      <w:r w:rsidRPr="00856872">
        <w:rPr>
          <w:rFonts w:ascii="Times New Roman" w:hAnsi="Times New Roman"/>
          <w:i/>
          <w:color w:val="000000"/>
          <w:sz w:val="26"/>
          <w:szCs w:val="26"/>
        </w:rPr>
        <w:t>International Research Journal of Finance and Economics</w:t>
      </w:r>
      <w:r w:rsidRPr="0059038E">
        <w:rPr>
          <w:rFonts w:ascii="Times New Roman" w:hAnsi="Times New Roman"/>
          <w:i/>
          <w:color w:val="000000"/>
          <w:sz w:val="26"/>
          <w:szCs w:val="26"/>
        </w:rPr>
        <w:t xml:space="preserve">. </w:t>
      </w:r>
      <w:r w:rsidRPr="0059038E">
        <w:rPr>
          <w:rFonts w:ascii="Times New Roman" w:hAnsi="Times New Roman"/>
          <w:color w:val="000000"/>
          <w:sz w:val="26"/>
          <w:szCs w:val="26"/>
        </w:rPr>
        <w:t xml:space="preserve">Gazimagusa: Euro Journals Publishing Inc. II (2): 1-21. </w:t>
      </w:r>
    </w:p>
    <w:p w:rsidR="00C97708"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t xml:space="preserve">Baral, Keshar J. (2005). </w:t>
      </w:r>
      <w:r w:rsidRPr="00290FF6">
        <w:rPr>
          <w:rFonts w:ascii="Times New Roman" w:hAnsi="Times New Roman"/>
          <w:color w:val="000000"/>
          <w:sz w:val="26"/>
          <w:szCs w:val="26"/>
        </w:rPr>
        <w:t>Health Check -Up of Commercial Banks in the Framework of CAMEL: A Case study of Joint Venture Banks in Nepal.</w:t>
      </w:r>
      <w:r w:rsidRPr="0059038E">
        <w:rPr>
          <w:rFonts w:ascii="Times New Roman" w:hAnsi="Times New Roman"/>
          <w:color w:val="000000"/>
          <w:sz w:val="26"/>
          <w:szCs w:val="26"/>
        </w:rPr>
        <w:t xml:space="preserve"> </w:t>
      </w:r>
      <w:r w:rsidRPr="00290FF6">
        <w:rPr>
          <w:rFonts w:ascii="Times New Roman" w:hAnsi="Times New Roman"/>
          <w:i/>
          <w:color w:val="000000"/>
          <w:sz w:val="26"/>
          <w:szCs w:val="26"/>
        </w:rPr>
        <w:t>Journal of Nepalese Business Studies</w:t>
      </w:r>
      <w:r w:rsidRPr="0059038E">
        <w:rPr>
          <w:rFonts w:ascii="Times New Roman" w:hAnsi="Times New Roman"/>
          <w:i/>
          <w:color w:val="000000"/>
          <w:sz w:val="26"/>
          <w:szCs w:val="26"/>
        </w:rPr>
        <w:t>.</w:t>
      </w:r>
      <w:r>
        <w:rPr>
          <w:rFonts w:ascii="Times New Roman" w:hAnsi="Times New Roman"/>
          <w:i/>
          <w:color w:val="000000"/>
          <w:sz w:val="26"/>
          <w:szCs w:val="26"/>
        </w:rPr>
        <w:t xml:space="preserve"> </w:t>
      </w:r>
      <w:r>
        <w:rPr>
          <w:rFonts w:ascii="Times New Roman" w:hAnsi="Times New Roman"/>
          <w:color w:val="000000"/>
          <w:sz w:val="26"/>
          <w:szCs w:val="26"/>
        </w:rPr>
        <w:t>Vol 2 (1), 41-55, Department of Management, P.N Campus.</w:t>
      </w:r>
      <w:r w:rsidRPr="0059038E">
        <w:rPr>
          <w:rFonts w:ascii="Times New Roman" w:hAnsi="Times New Roman"/>
          <w:color w:val="000000"/>
          <w:sz w:val="26"/>
          <w:szCs w:val="26"/>
        </w:rPr>
        <w:t xml:space="preserve"> </w:t>
      </w:r>
    </w:p>
    <w:p w:rsidR="00C97708" w:rsidRPr="0059038E"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t xml:space="preserve">Bhandari, K. (2006). </w:t>
      </w:r>
      <w:r w:rsidRPr="0059038E">
        <w:rPr>
          <w:rFonts w:ascii="Times New Roman" w:hAnsi="Times New Roman"/>
          <w:i/>
          <w:color w:val="000000"/>
          <w:sz w:val="26"/>
          <w:szCs w:val="26"/>
        </w:rPr>
        <w:t xml:space="preserve">The Financial Performance Analysis Himalayan Bank Ltd. in the Framework of CAMEL. </w:t>
      </w:r>
      <w:r w:rsidRPr="0059038E">
        <w:rPr>
          <w:rFonts w:ascii="Times New Roman" w:hAnsi="Times New Roman"/>
          <w:color w:val="000000"/>
          <w:sz w:val="26"/>
          <w:szCs w:val="26"/>
        </w:rPr>
        <w:t xml:space="preserve">Kathmandu: An Unpublished MBS Thesis Submitted to Tribhuvan University. </w:t>
      </w:r>
    </w:p>
    <w:p w:rsidR="00C97708" w:rsidRPr="0059038E"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t xml:space="preserve">Bhusal, M. (2008). </w:t>
      </w:r>
      <w:r w:rsidRPr="00823044">
        <w:rPr>
          <w:rFonts w:ascii="Times New Roman" w:hAnsi="Times New Roman"/>
          <w:i/>
          <w:color w:val="000000"/>
          <w:sz w:val="26"/>
          <w:szCs w:val="26"/>
        </w:rPr>
        <w:t>Financial Performance Analysis of Commercial Bank in Nepal in the Framework  of CAMEL of Bank and Machhapuchhre Bank</w:t>
      </w:r>
      <w:r w:rsidRPr="0059038E">
        <w:rPr>
          <w:rFonts w:ascii="Times New Roman" w:hAnsi="Times New Roman"/>
          <w:color w:val="000000"/>
          <w:sz w:val="26"/>
          <w:szCs w:val="26"/>
        </w:rPr>
        <w:t xml:space="preserve">. </w:t>
      </w:r>
      <w:r>
        <w:rPr>
          <w:rFonts w:ascii="Times New Roman" w:hAnsi="Times New Roman"/>
          <w:color w:val="000000"/>
          <w:sz w:val="26"/>
          <w:szCs w:val="26"/>
        </w:rPr>
        <w:t>Unpublished Master's Dissertation,</w:t>
      </w:r>
      <w:r w:rsidRPr="0059038E">
        <w:rPr>
          <w:rFonts w:ascii="Times New Roman" w:hAnsi="Times New Roman"/>
          <w:color w:val="000000"/>
          <w:sz w:val="26"/>
          <w:szCs w:val="26"/>
        </w:rPr>
        <w:t xml:space="preserve"> Shankar Dev Campus of, Tribhuvan University. </w:t>
      </w:r>
    </w:p>
    <w:p w:rsidR="00C97708" w:rsidRPr="0059038E"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t xml:space="preserve">Chandra, P. (1992). </w:t>
      </w:r>
      <w:r w:rsidRPr="0059038E">
        <w:rPr>
          <w:rFonts w:ascii="Times New Roman" w:hAnsi="Times New Roman"/>
          <w:i/>
          <w:color w:val="000000"/>
          <w:sz w:val="26"/>
          <w:szCs w:val="26"/>
        </w:rPr>
        <w:t>Financial Management: Theory &amp; Practice</w:t>
      </w:r>
      <w:r w:rsidRPr="0059038E">
        <w:rPr>
          <w:rFonts w:ascii="Times New Roman" w:hAnsi="Times New Roman"/>
          <w:color w:val="000000"/>
          <w:sz w:val="26"/>
          <w:szCs w:val="26"/>
        </w:rPr>
        <w:t>. 2</w:t>
      </w:r>
      <w:r w:rsidRPr="0059038E">
        <w:rPr>
          <w:rFonts w:ascii="Times New Roman" w:hAnsi="Times New Roman"/>
          <w:color w:val="000000"/>
          <w:sz w:val="26"/>
          <w:szCs w:val="26"/>
          <w:vertAlign w:val="superscript"/>
        </w:rPr>
        <w:t>nd</w:t>
      </w:r>
      <w:r w:rsidRPr="0059038E">
        <w:rPr>
          <w:rFonts w:ascii="Times New Roman" w:hAnsi="Times New Roman"/>
          <w:color w:val="000000"/>
          <w:sz w:val="26"/>
          <w:szCs w:val="26"/>
        </w:rPr>
        <w:t xml:space="preserve"> ed. New Delhi: Tata MC Graw Hill. </w:t>
      </w:r>
    </w:p>
    <w:p w:rsidR="00C97708" w:rsidRPr="0059038E"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t>Cole, R.A. and Gunther, J.W. (2008)</w:t>
      </w:r>
      <w:r>
        <w:rPr>
          <w:rFonts w:ascii="Times New Roman" w:hAnsi="Times New Roman"/>
          <w:color w:val="000000"/>
          <w:sz w:val="26"/>
          <w:szCs w:val="26"/>
        </w:rPr>
        <w:t>.</w:t>
      </w:r>
      <w:r w:rsidRPr="0059038E">
        <w:rPr>
          <w:rFonts w:ascii="Times New Roman" w:hAnsi="Times New Roman"/>
          <w:color w:val="000000"/>
          <w:sz w:val="26"/>
          <w:szCs w:val="26"/>
        </w:rPr>
        <w:t xml:space="preserve"> </w:t>
      </w:r>
      <w:r w:rsidRPr="0059038E">
        <w:rPr>
          <w:rFonts w:ascii="Times New Roman" w:hAnsi="Times New Roman"/>
          <w:i/>
          <w:color w:val="000000"/>
          <w:sz w:val="26"/>
          <w:szCs w:val="26"/>
        </w:rPr>
        <w:t>Prediciting Bank Failures: A Comparison of On and Off site Monitoring Systems.</w:t>
      </w:r>
      <w:r w:rsidRPr="0059038E">
        <w:rPr>
          <w:rFonts w:ascii="Times New Roman" w:hAnsi="Times New Roman"/>
          <w:color w:val="000000"/>
          <w:sz w:val="26"/>
          <w:szCs w:val="26"/>
        </w:rPr>
        <w:t xml:space="preserve"> Journal of Financing Services Research Boston: Kluwer Academic Publishers. XIII (2): 102-105. </w:t>
      </w:r>
    </w:p>
    <w:p w:rsidR="00C97708" w:rsidRPr="0059038E" w:rsidRDefault="00003DC0" w:rsidP="00C97708">
      <w:pPr>
        <w:spacing w:after="240" w:line="360" w:lineRule="auto"/>
        <w:ind w:left="720" w:hanging="720"/>
        <w:jc w:val="both"/>
        <w:rPr>
          <w:rFonts w:ascii="Times New Roman" w:hAnsi="Times New Roman"/>
          <w:color w:val="000000"/>
          <w:sz w:val="26"/>
          <w:szCs w:val="26"/>
        </w:rPr>
      </w:pPr>
      <w:r>
        <w:rPr>
          <w:rFonts w:ascii="Times New Roman" w:hAnsi="Times New Roman"/>
          <w:noProof/>
          <w:color w:val="000000"/>
          <w:sz w:val="26"/>
          <w:szCs w:val="26"/>
          <w:lang w:bidi="ar-SA"/>
        </w:rPr>
        <w:pict>
          <v:shape id="_x0000_s1052" type="#_x0000_t202" style="position:absolute;left:0;text-align:left;margin-left:171.4pt;margin-top:82.5pt;width:79.55pt;height:65.55pt;z-index:251669504" stroked="f">
            <v:textbox>
              <w:txbxContent>
                <w:p w:rsidR="008C0E1D" w:rsidRDefault="008C0E1D"/>
              </w:txbxContent>
            </v:textbox>
          </v:shape>
        </w:pict>
      </w:r>
      <w:r w:rsidR="00C97708" w:rsidRPr="0059038E">
        <w:rPr>
          <w:rFonts w:ascii="Times New Roman" w:hAnsi="Times New Roman"/>
          <w:color w:val="000000"/>
          <w:sz w:val="26"/>
          <w:szCs w:val="26"/>
        </w:rPr>
        <w:t>Derviz, A. &amp; Jiri, P. (2004)</w:t>
      </w:r>
      <w:r w:rsidR="00C97708">
        <w:rPr>
          <w:rFonts w:ascii="Times New Roman" w:hAnsi="Times New Roman"/>
          <w:color w:val="000000"/>
          <w:sz w:val="26"/>
          <w:szCs w:val="26"/>
        </w:rPr>
        <w:t>.</w:t>
      </w:r>
      <w:r w:rsidR="00C97708" w:rsidRPr="0059038E">
        <w:rPr>
          <w:rFonts w:ascii="Times New Roman" w:hAnsi="Times New Roman"/>
          <w:color w:val="000000"/>
          <w:sz w:val="26"/>
          <w:szCs w:val="26"/>
        </w:rPr>
        <w:t xml:space="preserve"> </w:t>
      </w:r>
      <w:r w:rsidR="00C97708" w:rsidRPr="0059038E">
        <w:rPr>
          <w:rFonts w:ascii="Times New Roman" w:hAnsi="Times New Roman"/>
          <w:i/>
          <w:color w:val="000000"/>
          <w:sz w:val="26"/>
          <w:szCs w:val="26"/>
        </w:rPr>
        <w:t>Predicting Bank CAMELS and S &amp; P Ratings</w:t>
      </w:r>
      <w:r w:rsidR="00C97708">
        <w:rPr>
          <w:rFonts w:ascii="Times New Roman" w:hAnsi="Times New Roman"/>
          <w:i/>
          <w:color w:val="000000"/>
          <w:sz w:val="26"/>
          <w:szCs w:val="26"/>
        </w:rPr>
        <w:t xml:space="preserve"> </w:t>
      </w:r>
      <w:r w:rsidR="00C97708" w:rsidRPr="00085C5A">
        <w:rPr>
          <w:rFonts w:ascii="Times New Roman" w:hAnsi="Times New Roman"/>
          <w:i/>
          <w:color w:val="000000"/>
          <w:sz w:val="26"/>
          <w:szCs w:val="26"/>
        </w:rPr>
        <w:t>the Case of the Czech Republic</w:t>
      </w:r>
      <w:r w:rsidR="00C97708" w:rsidRPr="0059038E">
        <w:rPr>
          <w:rFonts w:ascii="Times New Roman" w:hAnsi="Times New Roman"/>
          <w:color w:val="000000"/>
          <w:sz w:val="26"/>
          <w:szCs w:val="26"/>
        </w:rPr>
        <w:t xml:space="preserve">, </w:t>
      </w:r>
      <w:r w:rsidR="00C97708" w:rsidRPr="00343C8D">
        <w:rPr>
          <w:rFonts w:ascii="Times New Roman" w:hAnsi="Times New Roman"/>
          <w:color w:val="000000"/>
          <w:sz w:val="26"/>
          <w:szCs w:val="26"/>
        </w:rPr>
        <w:t>Working Paper Series No.1</w:t>
      </w:r>
      <w:r w:rsidR="00C97708" w:rsidRPr="0059038E">
        <w:rPr>
          <w:rFonts w:ascii="Times New Roman" w:hAnsi="Times New Roman"/>
          <w:i/>
          <w:color w:val="000000"/>
          <w:sz w:val="26"/>
          <w:szCs w:val="26"/>
        </w:rPr>
        <w:t>.</w:t>
      </w:r>
    </w:p>
    <w:p w:rsidR="00C97708" w:rsidRPr="0059038E"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lastRenderedPageBreak/>
        <w:t xml:space="preserve">Dhungel A. (2011). </w:t>
      </w:r>
      <w:r w:rsidRPr="0059038E">
        <w:rPr>
          <w:rFonts w:ascii="Times New Roman" w:hAnsi="Times New Roman"/>
          <w:i/>
          <w:color w:val="000000"/>
          <w:sz w:val="26"/>
          <w:szCs w:val="26"/>
        </w:rPr>
        <w:t xml:space="preserve">A Comparative Analysis of Financial Performance of Nepal SBI Bank &amp; MBL in Framework of CAMEL, </w:t>
      </w:r>
      <w:r w:rsidRPr="0059038E">
        <w:rPr>
          <w:rFonts w:ascii="Times New Roman" w:hAnsi="Times New Roman"/>
          <w:color w:val="000000"/>
          <w:sz w:val="26"/>
          <w:szCs w:val="26"/>
        </w:rPr>
        <w:t>Department of Management PNC, Pokhara.</w:t>
      </w:r>
    </w:p>
    <w:p w:rsidR="00C97708" w:rsidRPr="0059038E"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t>Dziobek, C., Hobbs J.K. &amp; Marston, D. (2000)</w:t>
      </w:r>
      <w:r>
        <w:rPr>
          <w:rFonts w:ascii="Times New Roman" w:hAnsi="Times New Roman"/>
          <w:color w:val="000000"/>
          <w:sz w:val="26"/>
          <w:szCs w:val="26"/>
        </w:rPr>
        <w:t>.</w:t>
      </w:r>
      <w:r w:rsidRPr="0059038E">
        <w:rPr>
          <w:rFonts w:ascii="Times New Roman" w:hAnsi="Times New Roman"/>
          <w:color w:val="000000"/>
          <w:sz w:val="26"/>
          <w:szCs w:val="26"/>
        </w:rPr>
        <w:t xml:space="preserve"> </w:t>
      </w:r>
      <w:r w:rsidRPr="0059038E">
        <w:rPr>
          <w:rFonts w:ascii="Times New Roman" w:hAnsi="Times New Roman"/>
          <w:i/>
          <w:color w:val="000000"/>
          <w:sz w:val="26"/>
          <w:szCs w:val="26"/>
        </w:rPr>
        <w:t>"Toward a Framework for Systematic Liquidity Policy</w:t>
      </w:r>
      <w:r w:rsidRPr="0059038E">
        <w:rPr>
          <w:rFonts w:ascii="Times New Roman" w:hAnsi="Times New Roman"/>
          <w:color w:val="000000"/>
          <w:sz w:val="26"/>
          <w:szCs w:val="26"/>
        </w:rPr>
        <w:t xml:space="preserve">: </w:t>
      </w:r>
      <w:r w:rsidRPr="0059038E">
        <w:rPr>
          <w:rFonts w:ascii="Times New Roman" w:hAnsi="Times New Roman"/>
          <w:i/>
          <w:color w:val="000000"/>
          <w:sz w:val="26"/>
          <w:szCs w:val="26"/>
        </w:rPr>
        <w:t>IMF Working Paper 00/34</w:t>
      </w:r>
      <w:r w:rsidRPr="0059038E">
        <w:rPr>
          <w:rFonts w:ascii="Times New Roman" w:hAnsi="Times New Roman"/>
          <w:color w:val="000000"/>
          <w:sz w:val="26"/>
          <w:szCs w:val="26"/>
        </w:rPr>
        <w:t xml:space="preserve">" Washington: (International Monetary Fund). </w:t>
      </w:r>
    </w:p>
    <w:p w:rsidR="00C97708" w:rsidRPr="0059038E"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t xml:space="preserve">Ghimire, R. (2002). </w:t>
      </w:r>
      <w:r w:rsidRPr="0059038E">
        <w:rPr>
          <w:rFonts w:ascii="Times New Roman" w:hAnsi="Times New Roman"/>
          <w:i/>
          <w:color w:val="000000"/>
          <w:sz w:val="26"/>
          <w:szCs w:val="26"/>
        </w:rPr>
        <w:t>Financial Performance of Commercial Banks between NBBL, HBL and EBL.</w:t>
      </w:r>
      <w:r w:rsidRPr="0059038E">
        <w:rPr>
          <w:rFonts w:ascii="Times New Roman" w:hAnsi="Times New Roman"/>
          <w:color w:val="000000"/>
          <w:sz w:val="26"/>
          <w:szCs w:val="26"/>
        </w:rPr>
        <w:t xml:space="preserve"> Kathmandu: Central Department of Management, Tribhuvan University. </w:t>
      </w:r>
    </w:p>
    <w:p w:rsidR="00C97708" w:rsidRPr="0059038E"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t xml:space="preserve">Gurung  (2009). </w:t>
      </w:r>
      <w:r w:rsidRPr="0059038E">
        <w:rPr>
          <w:rFonts w:ascii="Times New Roman" w:hAnsi="Times New Roman"/>
          <w:i/>
          <w:color w:val="000000"/>
          <w:sz w:val="26"/>
          <w:szCs w:val="26"/>
        </w:rPr>
        <w:t>Financial Performance Analysis of Domestic Private Commercial Banks in Nepal in the framework of CAMEL.</w:t>
      </w:r>
      <w:r w:rsidRPr="0059038E">
        <w:rPr>
          <w:rFonts w:ascii="Times New Roman" w:hAnsi="Times New Roman"/>
          <w:color w:val="000000"/>
          <w:sz w:val="26"/>
          <w:szCs w:val="26"/>
        </w:rPr>
        <w:t xml:space="preserve"> MBS Thesis. P.N.C. Pokhara. </w:t>
      </w:r>
    </w:p>
    <w:p w:rsidR="00C97708" w:rsidRPr="0059038E"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t xml:space="preserve">Hitle, B.J. &amp; Lopez, J.A. (1999). </w:t>
      </w:r>
      <w:r w:rsidRPr="0059038E">
        <w:rPr>
          <w:rFonts w:ascii="Times New Roman" w:hAnsi="Times New Roman"/>
          <w:i/>
          <w:color w:val="000000"/>
          <w:sz w:val="26"/>
          <w:szCs w:val="26"/>
        </w:rPr>
        <w:t>Supervisory Information and the Frequency of Bank Examinations.</w:t>
      </w:r>
      <w:r w:rsidRPr="0059038E">
        <w:rPr>
          <w:rFonts w:ascii="Times New Roman" w:hAnsi="Times New Roman"/>
          <w:color w:val="000000"/>
          <w:sz w:val="26"/>
          <w:szCs w:val="26"/>
        </w:rPr>
        <w:t xml:space="preserve"> "Economic Policy Review". New York: Federal Reserve Bank of New York. V (1): 38-65. </w:t>
      </w:r>
    </w:p>
    <w:p w:rsidR="00C97708" w:rsidRPr="0059038E"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t xml:space="preserve">International Monetory Fund  (2000). </w:t>
      </w:r>
      <w:r w:rsidRPr="0059038E">
        <w:rPr>
          <w:rFonts w:ascii="Times New Roman" w:hAnsi="Times New Roman"/>
          <w:i/>
          <w:color w:val="000000"/>
          <w:sz w:val="26"/>
          <w:szCs w:val="26"/>
        </w:rPr>
        <w:t>Macroprudential Indicators to Financial System Soundness</w:t>
      </w:r>
      <w:r w:rsidRPr="0059038E">
        <w:rPr>
          <w:rFonts w:ascii="Times New Roman" w:hAnsi="Times New Roman"/>
          <w:color w:val="000000"/>
          <w:sz w:val="26"/>
          <w:szCs w:val="26"/>
        </w:rPr>
        <w:t>. Washingson: IMF Occasional Paper.</w:t>
      </w:r>
    </w:p>
    <w:p w:rsidR="00C97708" w:rsidRPr="0059038E"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t>Jaffar, M and Manarvi, I (2011)</w:t>
      </w:r>
      <w:r>
        <w:rPr>
          <w:rFonts w:ascii="Times New Roman" w:hAnsi="Times New Roman"/>
          <w:color w:val="000000"/>
          <w:sz w:val="26"/>
          <w:szCs w:val="26"/>
        </w:rPr>
        <w:t>.</w:t>
      </w:r>
      <w:r w:rsidRPr="0059038E">
        <w:rPr>
          <w:rFonts w:ascii="Times New Roman" w:hAnsi="Times New Roman"/>
          <w:color w:val="000000"/>
          <w:sz w:val="26"/>
          <w:szCs w:val="26"/>
        </w:rPr>
        <w:t xml:space="preserve"> </w:t>
      </w:r>
      <w:r w:rsidRPr="0059038E">
        <w:rPr>
          <w:rFonts w:ascii="Times New Roman" w:hAnsi="Times New Roman"/>
          <w:i/>
          <w:color w:val="000000"/>
          <w:sz w:val="26"/>
          <w:szCs w:val="26"/>
        </w:rPr>
        <w:t>Performance Comparison of Islamic  and</w:t>
      </w:r>
      <w:r>
        <w:rPr>
          <w:rFonts w:ascii="Times New Roman" w:hAnsi="Times New Roman"/>
          <w:i/>
          <w:color w:val="000000"/>
          <w:sz w:val="26"/>
          <w:szCs w:val="26"/>
        </w:rPr>
        <w:t xml:space="preserve"> Conventional Banks in Pakistan</w:t>
      </w:r>
      <w:r w:rsidRPr="0059038E">
        <w:rPr>
          <w:rFonts w:ascii="Times New Roman" w:hAnsi="Times New Roman"/>
          <w:color w:val="000000"/>
          <w:sz w:val="26"/>
          <w:szCs w:val="26"/>
        </w:rPr>
        <w:t xml:space="preserve">, </w:t>
      </w:r>
      <w:r w:rsidRPr="0059038E">
        <w:rPr>
          <w:rFonts w:ascii="Times New Roman" w:hAnsi="Times New Roman"/>
          <w:i/>
          <w:color w:val="000000"/>
          <w:sz w:val="26"/>
          <w:szCs w:val="26"/>
        </w:rPr>
        <w:t>Global Journal of Management and Business Research</w:t>
      </w:r>
      <w:r w:rsidRPr="0059038E">
        <w:rPr>
          <w:rFonts w:ascii="Times New Roman" w:hAnsi="Times New Roman"/>
          <w:color w:val="000000"/>
          <w:sz w:val="26"/>
          <w:szCs w:val="26"/>
        </w:rPr>
        <w:t xml:space="preserve">: Vol 11 Iss. 1, Ver 1.0. </w:t>
      </w:r>
      <w:r w:rsidRPr="0059038E">
        <w:rPr>
          <w:rFonts w:ascii="Times New Roman" w:hAnsi="Times New Roman"/>
          <w:i/>
          <w:color w:val="000000"/>
          <w:sz w:val="26"/>
          <w:szCs w:val="26"/>
        </w:rPr>
        <w:t xml:space="preserve">Measurement and Capital Standards", </w:t>
      </w:r>
      <w:r w:rsidRPr="0059038E">
        <w:rPr>
          <w:rFonts w:ascii="Times New Roman" w:hAnsi="Times New Roman"/>
          <w:color w:val="000000"/>
          <w:sz w:val="26"/>
          <w:szCs w:val="26"/>
        </w:rPr>
        <w:t xml:space="preserve">Basel: Bank for International Settlement. </w:t>
      </w:r>
    </w:p>
    <w:p w:rsidR="00C97708" w:rsidRPr="0059038E"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t xml:space="preserve">Koch, Timothy W. and S. Scott Macdonald. (2004). </w:t>
      </w:r>
      <w:r w:rsidRPr="0059038E">
        <w:rPr>
          <w:rFonts w:ascii="Times New Roman" w:hAnsi="Times New Roman"/>
          <w:i/>
          <w:color w:val="000000"/>
          <w:sz w:val="26"/>
          <w:szCs w:val="26"/>
        </w:rPr>
        <w:t>Bank Management</w:t>
      </w:r>
      <w:r w:rsidRPr="0059038E">
        <w:rPr>
          <w:rFonts w:ascii="Times New Roman" w:hAnsi="Times New Roman"/>
          <w:color w:val="000000"/>
          <w:sz w:val="26"/>
          <w:szCs w:val="26"/>
        </w:rPr>
        <w:t>. 5</w:t>
      </w:r>
      <w:r w:rsidRPr="0059038E">
        <w:rPr>
          <w:rFonts w:ascii="Times New Roman" w:hAnsi="Times New Roman"/>
          <w:color w:val="000000"/>
          <w:sz w:val="26"/>
          <w:szCs w:val="26"/>
          <w:vertAlign w:val="superscript"/>
        </w:rPr>
        <w:t>th</w:t>
      </w:r>
      <w:r w:rsidRPr="0059038E">
        <w:rPr>
          <w:rFonts w:ascii="Times New Roman" w:hAnsi="Times New Roman"/>
          <w:color w:val="000000"/>
          <w:sz w:val="26"/>
          <w:szCs w:val="26"/>
        </w:rPr>
        <w:t xml:space="preserve"> ed. Banglore: Eastern Press Pvt. Ltd. </w:t>
      </w:r>
    </w:p>
    <w:p w:rsidR="00C97708" w:rsidRPr="0059038E" w:rsidRDefault="00003DC0" w:rsidP="00C97708">
      <w:pPr>
        <w:spacing w:after="240" w:line="360" w:lineRule="auto"/>
        <w:ind w:left="720" w:hanging="720"/>
        <w:jc w:val="both"/>
        <w:rPr>
          <w:rFonts w:ascii="Times New Roman" w:hAnsi="Times New Roman"/>
          <w:color w:val="000000"/>
          <w:sz w:val="26"/>
          <w:szCs w:val="26"/>
        </w:rPr>
      </w:pPr>
      <w:r>
        <w:rPr>
          <w:rFonts w:ascii="Times New Roman" w:hAnsi="Times New Roman"/>
          <w:noProof/>
          <w:color w:val="000000"/>
          <w:sz w:val="26"/>
          <w:szCs w:val="26"/>
          <w:lang w:bidi="ar-SA"/>
        </w:rPr>
        <w:pict>
          <v:shape id="_x0000_s1053" type="#_x0000_t202" style="position:absolute;left:0;text-align:left;margin-left:166.05pt;margin-top:50.85pt;width:79.55pt;height:65.55pt;z-index:251670528" stroked="f">
            <v:textbox>
              <w:txbxContent>
                <w:p w:rsidR="008C0E1D" w:rsidRDefault="008C0E1D"/>
              </w:txbxContent>
            </v:textbox>
          </v:shape>
        </w:pict>
      </w:r>
      <w:r w:rsidR="00C97708" w:rsidRPr="0059038E">
        <w:rPr>
          <w:rFonts w:ascii="Times New Roman" w:hAnsi="Times New Roman"/>
          <w:color w:val="000000"/>
          <w:sz w:val="26"/>
          <w:szCs w:val="26"/>
        </w:rPr>
        <w:t>Machhapuchhre Ba</w:t>
      </w:r>
      <w:r w:rsidR="00C97708">
        <w:rPr>
          <w:rFonts w:ascii="Times New Roman" w:hAnsi="Times New Roman"/>
          <w:color w:val="000000"/>
          <w:sz w:val="26"/>
          <w:szCs w:val="26"/>
        </w:rPr>
        <w:t>nk Limited (2005/06 to 2009/10).</w:t>
      </w:r>
      <w:r w:rsidR="00C97708" w:rsidRPr="0059038E">
        <w:rPr>
          <w:rFonts w:ascii="Times New Roman" w:hAnsi="Times New Roman"/>
          <w:color w:val="000000"/>
          <w:sz w:val="26"/>
          <w:szCs w:val="26"/>
        </w:rPr>
        <w:t xml:space="preserve"> </w:t>
      </w:r>
      <w:r w:rsidR="00C97708" w:rsidRPr="00BD059D">
        <w:rPr>
          <w:rFonts w:ascii="Times New Roman" w:hAnsi="Times New Roman"/>
          <w:i/>
          <w:color w:val="000000"/>
          <w:sz w:val="26"/>
          <w:szCs w:val="26"/>
        </w:rPr>
        <w:t>Annual Report</w:t>
      </w:r>
      <w:r w:rsidR="00C97708" w:rsidRPr="0059038E">
        <w:rPr>
          <w:rFonts w:ascii="Times New Roman" w:hAnsi="Times New Roman"/>
          <w:color w:val="000000"/>
          <w:sz w:val="26"/>
          <w:szCs w:val="26"/>
        </w:rPr>
        <w:t>, Pokhara.</w:t>
      </w:r>
    </w:p>
    <w:p w:rsidR="00C97708" w:rsidRPr="0059038E"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lastRenderedPageBreak/>
        <w:t xml:space="preserve">Maharjan, L. (2009). </w:t>
      </w:r>
      <w:r w:rsidRPr="0059038E">
        <w:rPr>
          <w:rFonts w:ascii="Times New Roman" w:hAnsi="Times New Roman"/>
          <w:i/>
          <w:color w:val="000000"/>
          <w:sz w:val="26"/>
          <w:szCs w:val="26"/>
        </w:rPr>
        <w:t>A Comparative Study of Financial Performance of SCBNL, NABIL and NIBL.</w:t>
      </w:r>
      <w:r w:rsidRPr="0059038E">
        <w:rPr>
          <w:rFonts w:ascii="Times New Roman" w:hAnsi="Times New Roman"/>
          <w:color w:val="000000"/>
          <w:sz w:val="26"/>
          <w:szCs w:val="26"/>
        </w:rPr>
        <w:t xml:space="preserve"> Kathmandu: Patan Multiple Campus, Tribhuvan University. </w:t>
      </w:r>
    </w:p>
    <w:p w:rsidR="00C97708" w:rsidRPr="0059038E" w:rsidRDefault="00C97708" w:rsidP="00C97708">
      <w:pPr>
        <w:spacing w:after="240" w:line="360" w:lineRule="auto"/>
        <w:ind w:left="720" w:hanging="720"/>
        <w:jc w:val="both"/>
        <w:rPr>
          <w:rFonts w:ascii="Times New Roman" w:hAnsi="Times New Roman"/>
          <w:i/>
          <w:color w:val="000000"/>
          <w:sz w:val="26"/>
          <w:szCs w:val="26"/>
        </w:rPr>
      </w:pPr>
      <w:r w:rsidRPr="0059038E">
        <w:rPr>
          <w:rFonts w:ascii="Times New Roman" w:hAnsi="Times New Roman"/>
          <w:color w:val="000000"/>
          <w:sz w:val="26"/>
          <w:szCs w:val="26"/>
        </w:rPr>
        <w:t xml:space="preserve">Mishkin.Fredric S. and Stanly G. Eakins. (2006). </w:t>
      </w:r>
      <w:r w:rsidRPr="0059038E">
        <w:rPr>
          <w:rFonts w:ascii="Times New Roman" w:hAnsi="Times New Roman"/>
          <w:i/>
          <w:color w:val="000000"/>
          <w:sz w:val="26"/>
          <w:szCs w:val="26"/>
        </w:rPr>
        <w:t>Financial Markets and Institution</w:t>
      </w:r>
      <w:r w:rsidRPr="0059038E">
        <w:rPr>
          <w:rFonts w:ascii="Times New Roman" w:hAnsi="Times New Roman"/>
          <w:color w:val="000000"/>
          <w:sz w:val="26"/>
          <w:szCs w:val="26"/>
        </w:rPr>
        <w:t>. 5</w:t>
      </w:r>
      <w:r w:rsidRPr="0059038E">
        <w:rPr>
          <w:rFonts w:ascii="Times New Roman" w:hAnsi="Times New Roman"/>
          <w:color w:val="000000"/>
          <w:sz w:val="26"/>
          <w:szCs w:val="26"/>
          <w:vertAlign w:val="superscript"/>
        </w:rPr>
        <w:t>th</w:t>
      </w:r>
      <w:r w:rsidRPr="0059038E">
        <w:rPr>
          <w:rFonts w:ascii="Times New Roman" w:hAnsi="Times New Roman"/>
          <w:color w:val="000000"/>
          <w:sz w:val="26"/>
          <w:szCs w:val="26"/>
        </w:rPr>
        <w:t xml:space="preserve"> ed. New Delhi: Dorling Kindersley Pvt. Ltd.  </w:t>
      </w:r>
      <w:r w:rsidRPr="0059038E">
        <w:rPr>
          <w:rFonts w:ascii="Times New Roman" w:hAnsi="Times New Roman"/>
          <w:i/>
          <w:color w:val="000000"/>
          <w:sz w:val="26"/>
          <w:szCs w:val="26"/>
        </w:rPr>
        <w:t xml:space="preserve"> </w:t>
      </w:r>
    </w:p>
    <w:p w:rsidR="00C97708" w:rsidRPr="00E8074F" w:rsidRDefault="00C97708" w:rsidP="00C97708">
      <w:pPr>
        <w:spacing w:after="240" w:line="360" w:lineRule="auto"/>
        <w:ind w:left="720" w:hanging="720"/>
        <w:jc w:val="both"/>
        <w:rPr>
          <w:rFonts w:ascii="Times New Roman" w:hAnsi="Times New Roman"/>
          <w:color w:val="000000"/>
          <w:sz w:val="26"/>
          <w:szCs w:val="26"/>
        </w:rPr>
      </w:pPr>
      <w:r>
        <w:rPr>
          <w:rFonts w:ascii="Times New Roman" w:hAnsi="Times New Roman"/>
          <w:color w:val="000000"/>
          <w:sz w:val="26"/>
          <w:szCs w:val="26"/>
        </w:rPr>
        <w:t xml:space="preserve">Nepal Rastra Bank, (2005). NRB Directives. </w:t>
      </w:r>
    </w:p>
    <w:p w:rsidR="00C97708" w:rsidRPr="0059038E"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t>Nurazi, Ridwan and Evans, Michael (2005)</w:t>
      </w:r>
      <w:r>
        <w:rPr>
          <w:rFonts w:ascii="Times New Roman" w:hAnsi="Times New Roman"/>
          <w:color w:val="000000"/>
          <w:sz w:val="26"/>
          <w:szCs w:val="26"/>
        </w:rPr>
        <w:t>.</w:t>
      </w:r>
      <w:r w:rsidRPr="0059038E">
        <w:rPr>
          <w:rFonts w:ascii="Times New Roman" w:hAnsi="Times New Roman"/>
          <w:color w:val="000000"/>
          <w:sz w:val="26"/>
          <w:szCs w:val="26"/>
        </w:rPr>
        <w:t xml:space="preserve"> </w:t>
      </w:r>
      <w:r w:rsidRPr="0059038E">
        <w:rPr>
          <w:rFonts w:ascii="Times New Roman" w:hAnsi="Times New Roman"/>
          <w:i/>
          <w:color w:val="000000"/>
          <w:sz w:val="26"/>
          <w:szCs w:val="26"/>
        </w:rPr>
        <w:t>An Indonesian Study of the use of CAMEL (S) Ratios at Predictors of Bank Failure</w:t>
      </w:r>
      <w:r>
        <w:rPr>
          <w:rFonts w:ascii="Times New Roman" w:hAnsi="Times New Roman"/>
          <w:i/>
          <w:color w:val="000000"/>
          <w:sz w:val="26"/>
          <w:szCs w:val="26"/>
        </w:rPr>
        <w:t>.</w:t>
      </w:r>
      <w:r w:rsidRPr="0059038E">
        <w:rPr>
          <w:rFonts w:ascii="Times New Roman" w:hAnsi="Times New Roman"/>
          <w:color w:val="000000"/>
          <w:sz w:val="26"/>
          <w:szCs w:val="26"/>
        </w:rPr>
        <w:t xml:space="preserve"> Journal of Economic and Social Policy: Vol. 10: Iss. 1. Article 6. </w:t>
      </w:r>
    </w:p>
    <w:p w:rsidR="00C97708" w:rsidRDefault="00C97708" w:rsidP="00C97708">
      <w:pPr>
        <w:spacing w:after="240" w:line="360" w:lineRule="auto"/>
        <w:ind w:left="720" w:hanging="720"/>
        <w:jc w:val="both"/>
        <w:rPr>
          <w:rFonts w:ascii="Times New Roman" w:hAnsi="Times New Roman"/>
          <w:color w:val="000000"/>
          <w:sz w:val="26"/>
          <w:szCs w:val="26"/>
        </w:rPr>
      </w:pPr>
      <w:r>
        <w:rPr>
          <w:rFonts w:ascii="Times New Roman" w:hAnsi="Times New Roman"/>
          <w:color w:val="000000"/>
          <w:sz w:val="26"/>
          <w:szCs w:val="26"/>
        </w:rPr>
        <w:t xml:space="preserve">Pandit, Gandhi (2002). </w:t>
      </w:r>
      <w:r w:rsidRPr="002D5202">
        <w:rPr>
          <w:rFonts w:ascii="Times New Roman" w:hAnsi="Times New Roman"/>
          <w:i/>
          <w:color w:val="000000"/>
          <w:sz w:val="26"/>
          <w:szCs w:val="26"/>
        </w:rPr>
        <w:t>Complication</w:t>
      </w:r>
      <w:r>
        <w:rPr>
          <w:rFonts w:ascii="Times New Roman" w:hAnsi="Times New Roman"/>
          <w:i/>
          <w:color w:val="000000"/>
          <w:sz w:val="26"/>
          <w:szCs w:val="26"/>
        </w:rPr>
        <w:t xml:space="preserve"> Between Deloitte and NRB Business Age</w:t>
      </w:r>
      <w:r>
        <w:rPr>
          <w:rFonts w:ascii="Times New Roman" w:hAnsi="Times New Roman"/>
          <w:color w:val="000000"/>
          <w:sz w:val="26"/>
          <w:szCs w:val="26"/>
        </w:rPr>
        <w:t xml:space="preserve">. Vol. 4 (4-8). </w:t>
      </w:r>
    </w:p>
    <w:p w:rsidR="00C97708" w:rsidRPr="0059038E"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t xml:space="preserve">Poudel, K. (2007). </w:t>
      </w:r>
      <w:r w:rsidRPr="0059038E">
        <w:rPr>
          <w:rFonts w:ascii="Times New Roman" w:hAnsi="Times New Roman"/>
          <w:i/>
          <w:color w:val="000000"/>
          <w:sz w:val="26"/>
          <w:szCs w:val="26"/>
        </w:rPr>
        <w:t>A Study of Comparative Analysis of Financial Performance between HBL and SCBNL</w:t>
      </w:r>
      <w:r w:rsidRPr="0059038E">
        <w:rPr>
          <w:rFonts w:ascii="Times New Roman" w:hAnsi="Times New Roman"/>
          <w:color w:val="000000"/>
          <w:sz w:val="26"/>
          <w:szCs w:val="26"/>
        </w:rPr>
        <w:t xml:space="preserve">. Kathmandu: Nepal Commerce Campus, Tribhuvan University. </w:t>
      </w:r>
    </w:p>
    <w:p w:rsidR="00C97708" w:rsidRPr="0059038E" w:rsidRDefault="00C97708" w:rsidP="00C97708">
      <w:pPr>
        <w:spacing w:after="240" w:line="360" w:lineRule="auto"/>
        <w:ind w:left="720" w:hanging="720"/>
        <w:jc w:val="both"/>
        <w:rPr>
          <w:rFonts w:ascii="Times New Roman" w:hAnsi="Times New Roman"/>
          <w:i/>
          <w:color w:val="000000"/>
          <w:sz w:val="26"/>
          <w:szCs w:val="26"/>
        </w:rPr>
      </w:pPr>
      <w:r w:rsidRPr="0059038E">
        <w:rPr>
          <w:rFonts w:ascii="Times New Roman" w:hAnsi="Times New Roman"/>
          <w:color w:val="000000"/>
          <w:sz w:val="26"/>
          <w:szCs w:val="26"/>
        </w:rPr>
        <w:t xml:space="preserve">Poudel, R. (2002). </w:t>
      </w:r>
      <w:r w:rsidRPr="0059038E">
        <w:rPr>
          <w:rFonts w:ascii="Times New Roman" w:hAnsi="Times New Roman"/>
          <w:i/>
          <w:color w:val="000000"/>
          <w:sz w:val="26"/>
          <w:szCs w:val="26"/>
        </w:rPr>
        <w:t xml:space="preserve">Financial Performance Analysis of EBL. </w:t>
      </w:r>
      <w:r w:rsidRPr="0059038E">
        <w:rPr>
          <w:rFonts w:ascii="Times New Roman" w:hAnsi="Times New Roman"/>
          <w:color w:val="000000"/>
          <w:sz w:val="26"/>
          <w:szCs w:val="26"/>
        </w:rPr>
        <w:t xml:space="preserve">Kathmandu: Shankar Dev Campus, Tribhuvan University. </w:t>
      </w:r>
      <w:r w:rsidRPr="0059038E">
        <w:rPr>
          <w:rFonts w:ascii="Times New Roman" w:hAnsi="Times New Roman"/>
          <w:i/>
          <w:color w:val="000000"/>
          <w:sz w:val="26"/>
          <w:szCs w:val="26"/>
        </w:rPr>
        <w:t xml:space="preserve">  </w:t>
      </w:r>
    </w:p>
    <w:p w:rsidR="00C97708" w:rsidRPr="0059038E" w:rsidRDefault="00C97708" w:rsidP="00C97708">
      <w:pPr>
        <w:spacing w:after="240" w:line="360" w:lineRule="auto"/>
        <w:ind w:left="720" w:hanging="720"/>
        <w:jc w:val="both"/>
        <w:rPr>
          <w:rFonts w:ascii="Times New Roman" w:hAnsi="Times New Roman"/>
          <w:color w:val="000000"/>
          <w:sz w:val="26"/>
          <w:szCs w:val="26"/>
        </w:rPr>
      </w:pPr>
      <w:r>
        <w:rPr>
          <w:rFonts w:ascii="Times New Roman" w:hAnsi="Times New Roman"/>
          <w:color w:val="000000"/>
          <w:sz w:val="26"/>
          <w:szCs w:val="26"/>
        </w:rPr>
        <w:t xml:space="preserve">Sangmi, M and Nazir, T (2010). </w:t>
      </w:r>
      <w:r w:rsidRPr="0059038E">
        <w:rPr>
          <w:rFonts w:ascii="Times New Roman" w:hAnsi="Times New Roman"/>
          <w:color w:val="000000"/>
          <w:sz w:val="26"/>
          <w:szCs w:val="26"/>
        </w:rPr>
        <w:t xml:space="preserve">An Analyzing Financial Performance of Commercial Banks in India: Application of </w:t>
      </w:r>
      <w:r>
        <w:rPr>
          <w:rFonts w:ascii="Times New Roman" w:hAnsi="Times New Roman"/>
          <w:color w:val="000000"/>
          <w:sz w:val="26"/>
          <w:szCs w:val="26"/>
        </w:rPr>
        <w:t>CAMEL Model.</w:t>
      </w:r>
      <w:r w:rsidRPr="0059038E">
        <w:rPr>
          <w:rFonts w:ascii="Times New Roman" w:hAnsi="Times New Roman"/>
          <w:color w:val="000000"/>
          <w:sz w:val="26"/>
          <w:szCs w:val="26"/>
        </w:rPr>
        <w:t xml:space="preserve"> Pak.J. Commer. Soc. Sci: Vol 4(1), 540-55. </w:t>
      </w:r>
    </w:p>
    <w:p w:rsidR="00C97708" w:rsidRDefault="00C97708" w:rsidP="00C97708">
      <w:pPr>
        <w:spacing w:after="240" w:line="360" w:lineRule="auto"/>
        <w:ind w:left="720" w:hanging="720"/>
        <w:jc w:val="both"/>
        <w:rPr>
          <w:rFonts w:ascii="Times New Roman" w:hAnsi="Times New Roman"/>
          <w:color w:val="000000"/>
          <w:sz w:val="26"/>
          <w:szCs w:val="26"/>
        </w:rPr>
      </w:pPr>
      <w:r>
        <w:rPr>
          <w:rFonts w:ascii="Times New Roman" w:hAnsi="Times New Roman"/>
          <w:color w:val="000000"/>
          <w:sz w:val="26"/>
          <w:szCs w:val="26"/>
        </w:rPr>
        <w:t xml:space="preserve">Saunders, Anthony &amp; Marcia Million Cornett (2004). </w:t>
      </w:r>
      <w:r>
        <w:rPr>
          <w:rFonts w:ascii="Times New Roman" w:hAnsi="Times New Roman"/>
          <w:i/>
          <w:color w:val="000000"/>
          <w:sz w:val="26"/>
          <w:szCs w:val="26"/>
        </w:rPr>
        <w:t>Financial Markets and Institutions.</w:t>
      </w:r>
      <w:r>
        <w:rPr>
          <w:rFonts w:ascii="Times New Roman" w:hAnsi="Times New Roman"/>
          <w:color w:val="000000"/>
          <w:sz w:val="26"/>
          <w:szCs w:val="26"/>
        </w:rPr>
        <w:t xml:space="preserve"> New Delhi: Tata McGraw-Hill Publishing Company Limited. </w:t>
      </w:r>
    </w:p>
    <w:p w:rsidR="00C97708" w:rsidRPr="0059038E" w:rsidRDefault="00003DC0" w:rsidP="00C97708">
      <w:pPr>
        <w:spacing w:after="240" w:line="360" w:lineRule="auto"/>
        <w:ind w:left="720" w:hanging="720"/>
        <w:jc w:val="both"/>
        <w:rPr>
          <w:rFonts w:ascii="Times New Roman" w:hAnsi="Times New Roman"/>
          <w:color w:val="000000"/>
          <w:sz w:val="26"/>
          <w:szCs w:val="26"/>
        </w:rPr>
      </w:pPr>
      <w:r>
        <w:rPr>
          <w:rFonts w:ascii="Times New Roman" w:hAnsi="Times New Roman"/>
          <w:noProof/>
          <w:color w:val="000000"/>
          <w:sz w:val="26"/>
          <w:szCs w:val="26"/>
          <w:lang w:bidi="ar-SA"/>
        </w:rPr>
        <w:pict>
          <v:shape id="_x0000_s1054" type="#_x0000_t202" style="position:absolute;left:0;text-align:left;margin-left:183.2pt;margin-top:74.2pt;width:64.5pt;height:46.2pt;z-index:251671552" stroked="f">
            <v:textbox>
              <w:txbxContent>
                <w:p w:rsidR="008C0E1D" w:rsidRDefault="008C0E1D"/>
              </w:txbxContent>
            </v:textbox>
          </v:shape>
        </w:pict>
      </w:r>
      <w:r w:rsidR="00C97708" w:rsidRPr="0059038E">
        <w:rPr>
          <w:rFonts w:ascii="Times New Roman" w:hAnsi="Times New Roman"/>
          <w:color w:val="000000"/>
          <w:sz w:val="26"/>
          <w:szCs w:val="26"/>
        </w:rPr>
        <w:t xml:space="preserve">Sharma, R. (2007). </w:t>
      </w:r>
      <w:r w:rsidR="00C97708" w:rsidRPr="0059038E">
        <w:rPr>
          <w:rFonts w:ascii="Times New Roman" w:hAnsi="Times New Roman"/>
          <w:i/>
          <w:color w:val="000000"/>
          <w:sz w:val="26"/>
          <w:szCs w:val="26"/>
        </w:rPr>
        <w:t>Financial Performance Analysis of Nepal SBI Bank Ltd. in the Framework of CAMEL</w:t>
      </w:r>
      <w:r w:rsidR="00C97708" w:rsidRPr="0059038E">
        <w:rPr>
          <w:rFonts w:ascii="Times New Roman" w:hAnsi="Times New Roman"/>
          <w:color w:val="000000"/>
          <w:sz w:val="26"/>
          <w:szCs w:val="26"/>
        </w:rPr>
        <w:t xml:space="preserve">. Shankar Dev Campus, Tribhuvan University. </w:t>
      </w:r>
    </w:p>
    <w:p w:rsidR="00C97708" w:rsidRPr="0059038E"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lastRenderedPageBreak/>
        <w:t xml:space="preserve">Shrestha, M.D. (2003). </w:t>
      </w:r>
      <w:r w:rsidRPr="0059038E">
        <w:rPr>
          <w:rFonts w:ascii="Times New Roman" w:hAnsi="Times New Roman"/>
          <w:i/>
          <w:color w:val="000000"/>
          <w:sz w:val="26"/>
          <w:szCs w:val="26"/>
        </w:rPr>
        <w:t>Capital Adequacy Norms for Commercial Banks and its Impact of Bank of Kathmandu and Himalayan Bank Ltd.</w:t>
      </w:r>
      <w:r w:rsidRPr="0059038E">
        <w:rPr>
          <w:rFonts w:ascii="Times New Roman" w:hAnsi="Times New Roman"/>
          <w:color w:val="000000"/>
          <w:sz w:val="26"/>
          <w:szCs w:val="26"/>
        </w:rPr>
        <w:t xml:space="preserve">, Kathmandu: Central Department of Management, Tribhuvan University. </w:t>
      </w:r>
    </w:p>
    <w:p w:rsidR="00C97708" w:rsidRPr="0059038E"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t xml:space="preserve">Thomson. J.B.  (1991). </w:t>
      </w:r>
      <w:r w:rsidRPr="0059038E">
        <w:rPr>
          <w:rFonts w:ascii="Times New Roman" w:hAnsi="Times New Roman"/>
          <w:i/>
          <w:color w:val="000000"/>
          <w:sz w:val="26"/>
          <w:szCs w:val="26"/>
        </w:rPr>
        <w:t>Predicting Bank Failures in 1980s. Economic Review</w:t>
      </w:r>
      <w:r>
        <w:rPr>
          <w:rFonts w:ascii="Times New Roman" w:hAnsi="Times New Roman"/>
          <w:i/>
          <w:color w:val="000000"/>
          <w:sz w:val="26"/>
          <w:szCs w:val="26"/>
        </w:rPr>
        <w:t>.</w:t>
      </w:r>
      <w:r w:rsidRPr="0059038E">
        <w:rPr>
          <w:rFonts w:ascii="Times New Roman" w:hAnsi="Times New Roman"/>
          <w:i/>
          <w:color w:val="000000"/>
          <w:sz w:val="26"/>
          <w:szCs w:val="26"/>
        </w:rPr>
        <w:t xml:space="preserve"> </w:t>
      </w:r>
      <w:r w:rsidRPr="00492DE1">
        <w:rPr>
          <w:rFonts w:ascii="Times New Roman" w:hAnsi="Times New Roman"/>
          <w:color w:val="000000"/>
          <w:sz w:val="26"/>
          <w:szCs w:val="26"/>
        </w:rPr>
        <w:t>Federal Reserve Bank of Cleveland</w:t>
      </w:r>
      <w:r>
        <w:rPr>
          <w:rFonts w:ascii="Times New Roman" w:hAnsi="Times New Roman"/>
          <w:color w:val="000000"/>
          <w:sz w:val="26"/>
          <w:szCs w:val="26"/>
        </w:rPr>
        <w:t>.</w:t>
      </w:r>
      <w:r w:rsidRPr="0059038E">
        <w:rPr>
          <w:rFonts w:ascii="Times New Roman" w:hAnsi="Times New Roman"/>
          <w:i/>
          <w:color w:val="000000"/>
          <w:sz w:val="26"/>
          <w:szCs w:val="26"/>
        </w:rPr>
        <w:t xml:space="preserve"> </w:t>
      </w:r>
      <w:r w:rsidRPr="0059038E">
        <w:rPr>
          <w:rFonts w:ascii="Times New Roman" w:hAnsi="Times New Roman"/>
          <w:color w:val="000000"/>
          <w:sz w:val="26"/>
          <w:szCs w:val="26"/>
        </w:rPr>
        <w:t xml:space="preserve">pp. 9-20. </w:t>
      </w:r>
    </w:p>
    <w:p w:rsidR="00C97708" w:rsidRPr="0059038E"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t xml:space="preserve">Tiwari, S. (2010). </w:t>
      </w:r>
      <w:r w:rsidRPr="0059038E">
        <w:rPr>
          <w:rFonts w:ascii="Times New Roman" w:hAnsi="Times New Roman"/>
          <w:i/>
          <w:color w:val="000000"/>
          <w:sz w:val="26"/>
          <w:szCs w:val="26"/>
        </w:rPr>
        <w:t>Financial Performance Analysis of Pokhara Finance Company Limited in the Framework of CAMELS.</w:t>
      </w:r>
      <w:r w:rsidRPr="0059038E">
        <w:rPr>
          <w:rFonts w:ascii="Times New Roman" w:hAnsi="Times New Roman"/>
          <w:color w:val="000000"/>
          <w:sz w:val="26"/>
          <w:szCs w:val="26"/>
        </w:rPr>
        <w:t xml:space="preserve"> Department of Management PNC, Pokhara.</w:t>
      </w:r>
    </w:p>
    <w:p w:rsidR="00C97708" w:rsidRDefault="00C97708" w:rsidP="00C97708">
      <w:pPr>
        <w:spacing w:after="240" w:line="360" w:lineRule="auto"/>
        <w:ind w:left="720" w:hanging="720"/>
        <w:jc w:val="both"/>
        <w:rPr>
          <w:rFonts w:ascii="Times New Roman" w:hAnsi="Times New Roman"/>
          <w:color w:val="000000"/>
          <w:sz w:val="26"/>
          <w:szCs w:val="26"/>
        </w:rPr>
      </w:pPr>
      <w:r>
        <w:rPr>
          <w:rFonts w:ascii="Times New Roman" w:hAnsi="Times New Roman"/>
          <w:color w:val="000000"/>
          <w:sz w:val="26"/>
          <w:szCs w:val="26"/>
        </w:rPr>
        <w:t xml:space="preserve">Vaish, M.C. (1993). </w:t>
      </w:r>
      <w:r>
        <w:rPr>
          <w:rFonts w:ascii="Times New Roman" w:hAnsi="Times New Roman"/>
          <w:i/>
          <w:color w:val="000000"/>
          <w:sz w:val="26"/>
          <w:szCs w:val="26"/>
        </w:rPr>
        <w:t>Money Banking and International Trade.</w:t>
      </w:r>
      <w:r>
        <w:rPr>
          <w:rFonts w:ascii="Times New Roman" w:hAnsi="Times New Roman"/>
          <w:color w:val="000000"/>
          <w:sz w:val="26"/>
          <w:szCs w:val="26"/>
        </w:rPr>
        <w:t xml:space="preserve"> 8</w:t>
      </w:r>
      <w:r w:rsidRPr="00E8074F">
        <w:rPr>
          <w:rFonts w:ascii="Times New Roman" w:hAnsi="Times New Roman"/>
          <w:color w:val="000000"/>
          <w:sz w:val="26"/>
          <w:szCs w:val="26"/>
          <w:vertAlign w:val="superscript"/>
        </w:rPr>
        <w:t>th</w:t>
      </w:r>
      <w:r>
        <w:rPr>
          <w:rFonts w:ascii="Times New Roman" w:hAnsi="Times New Roman"/>
          <w:color w:val="000000"/>
          <w:sz w:val="26"/>
          <w:szCs w:val="26"/>
        </w:rPr>
        <w:t xml:space="preserve"> ed. New Delhi: Willey Eastern Limited. </w:t>
      </w:r>
    </w:p>
    <w:p w:rsidR="00C97708" w:rsidRDefault="00C97708" w:rsidP="00C97708">
      <w:pPr>
        <w:spacing w:after="240" w:line="360" w:lineRule="auto"/>
        <w:ind w:left="720" w:hanging="720"/>
        <w:jc w:val="both"/>
        <w:rPr>
          <w:rFonts w:ascii="Times New Roman" w:hAnsi="Times New Roman"/>
          <w:color w:val="000000"/>
          <w:sz w:val="26"/>
          <w:szCs w:val="26"/>
        </w:rPr>
      </w:pPr>
      <w:r w:rsidRPr="0059038E">
        <w:rPr>
          <w:rFonts w:ascii="Times New Roman" w:hAnsi="Times New Roman"/>
          <w:color w:val="000000"/>
          <w:sz w:val="26"/>
          <w:szCs w:val="26"/>
        </w:rPr>
        <w:t xml:space="preserve">Weston, T.F. &amp; Copeland T.E. (1992). </w:t>
      </w:r>
      <w:r w:rsidRPr="0059038E">
        <w:rPr>
          <w:rFonts w:ascii="Times New Roman" w:hAnsi="Times New Roman"/>
          <w:i/>
          <w:color w:val="000000"/>
          <w:sz w:val="26"/>
          <w:szCs w:val="26"/>
        </w:rPr>
        <w:t>Managerial Finance</w:t>
      </w:r>
      <w:r w:rsidRPr="0059038E">
        <w:rPr>
          <w:rFonts w:ascii="Times New Roman" w:hAnsi="Times New Roman"/>
          <w:color w:val="000000"/>
          <w:sz w:val="26"/>
          <w:szCs w:val="26"/>
        </w:rPr>
        <w:t>. 9</w:t>
      </w:r>
      <w:r w:rsidRPr="0059038E">
        <w:rPr>
          <w:rFonts w:ascii="Times New Roman" w:hAnsi="Times New Roman"/>
          <w:color w:val="000000"/>
          <w:sz w:val="26"/>
          <w:szCs w:val="26"/>
          <w:vertAlign w:val="superscript"/>
        </w:rPr>
        <w:t>th</w:t>
      </w:r>
      <w:r w:rsidRPr="0059038E">
        <w:rPr>
          <w:rFonts w:ascii="Times New Roman" w:hAnsi="Times New Roman"/>
          <w:color w:val="000000"/>
          <w:sz w:val="26"/>
          <w:szCs w:val="26"/>
        </w:rPr>
        <w:t xml:space="preserve"> ed. New York: The Dryden Press. </w:t>
      </w:r>
    </w:p>
    <w:p w:rsidR="00BB45A8" w:rsidRPr="00FD1AA2" w:rsidRDefault="00BB45A8" w:rsidP="00FD1AA2">
      <w:pPr>
        <w:spacing w:after="240" w:line="360" w:lineRule="auto"/>
        <w:ind w:left="720" w:hanging="720"/>
        <w:rPr>
          <w:rFonts w:ascii="Times New Roman" w:hAnsi="Times New Roman"/>
          <w:color w:val="000000"/>
          <w:sz w:val="26"/>
          <w:szCs w:val="26"/>
        </w:rPr>
      </w:pPr>
    </w:p>
    <w:p w:rsidR="00DA4DD8" w:rsidRPr="00FD1AA2" w:rsidRDefault="00DA4DD8" w:rsidP="00FD1AA2">
      <w:pPr>
        <w:spacing w:after="240" w:line="360" w:lineRule="auto"/>
        <w:ind w:left="720" w:hanging="720"/>
        <w:rPr>
          <w:rFonts w:ascii="Times New Roman" w:hAnsi="Times New Roman"/>
          <w:b/>
          <w:color w:val="000000"/>
          <w:sz w:val="26"/>
          <w:szCs w:val="26"/>
        </w:rPr>
      </w:pPr>
      <w:r w:rsidRPr="00FD1AA2">
        <w:rPr>
          <w:rFonts w:ascii="Times New Roman" w:hAnsi="Times New Roman"/>
          <w:b/>
          <w:color w:val="000000"/>
          <w:sz w:val="26"/>
          <w:szCs w:val="26"/>
        </w:rPr>
        <w:t xml:space="preserve">Websites </w:t>
      </w:r>
    </w:p>
    <w:p w:rsidR="00DA4DD8" w:rsidRPr="00CB3970" w:rsidRDefault="006B715D" w:rsidP="00CB3970">
      <w:pPr>
        <w:spacing w:line="360" w:lineRule="auto"/>
        <w:ind w:left="720" w:hanging="720"/>
        <w:rPr>
          <w:rFonts w:ascii="Times New Roman" w:hAnsi="Times New Roman"/>
          <w:sz w:val="26"/>
          <w:szCs w:val="26"/>
        </w:rPr>
      </w:pPr>
      <w:r>
        <w:t>http//</w:t>
      </w:r>
      <w:hyperlink r:id="rId23" w:history="1">
        <w:r w:rsidR="00DA4DD8" w:rsidRPr="00CB3970">
          <w:rPr>
            <w:rStyle w:val="Hyperlink"/>
            <w:rFonts w:ascii="Times New Roman" w:hAnsi="Times New Roman"/>
            <w:color w:val="auto"/>
            <w:sz w:val="26"/>
            <w:szCs w:val="26"/>
            <w:u w:val="none"/>
          </w:rPr>
          <w:t>www.machbank.com</w:t>
        </w:r>
      </w:hyperlink>
    </w:p>
    <w:p w:rsidR="00DA4DD8" w:rsidRPr="00CB3970" w:rsidRDefault="009549B2" w:rsidP="00CB3970">
      <w:pPr>
        <w:spacing w:line="360" w:lineRule="auto"/>
        <w:ind w:left="720" w:hanging="720"/>
        <w:rPr>
          <w:rFonts w:ascii="Times New Roman" w:hAnsi="Times New Roman"/>
          <w:sz w:val="26"/>
          <w:szCs w:val="26"/>
        </w:rPr>
      </w:pPr>
      <w:r>
        <w:t>http//</w:t>
      </w:r>
      <w:hyperlink r:id="rId24" w:history="1">
        <w:r w:rsidR="00DA4DD8" w:rsidRPr="00CB3970">
          <w:rPr>
            <w:rStyle w:val="Hyperlink"/>
            <w:rFonts w:ascii="Times New Roman" w:hAnsi="Times New Roman"/>
            <w:color w:val="auto"/>
            <w:sz w:val="26"/>
            <w:szCs w:val="26"/>
            <w:u w:val="none"/>
          </w:rPr>
          <w:t>www.nrb.org.np</w:t>
        </w:r>
      </w:hyperlink>
    </w:p>
    <w:p w:rsidR="00DA4DD8" w:rsidRPr="00CB3970" w:rsidRDefault="009549B2" w:rsidP="00CB3970">
      <w:pPr>
        <w:spacing w:line="360" w:lineRule="auto"/>
        <w:ind w:left="720" w:hanging="720"/>
        <w:rPr>
          <w:rFonts w:ascii="Times New Roman" w:hAnsi="Times New Roman"/>
          <w:sz w:val="26"/>
          <w:szCs w:val="26"/>
        </w:rPr>
      </w:pPr>
      <w:r>
        <w:t>http//</w:t>
      </w:r>
      <w:hyperlink r:id="rId25" w:history="1">
        <w:r w:rsidR="00DA4DD8" w:rsidRPr="00CB3970">
          <w:rPr>
            <w:rStyle w:val="Hyperlink"/>
            <w:rFonts w:ascii="Times New Roman" w:hAnsi="Times New Roman"/>
            <w:color w:val="auto"/>
            <w:sz w:val="26"/>
            <w:szCs w:val="26"/>
            <w:u w:val="none"/>
          </w:rPr>
          <w:t>www.google.com</w:t>
        </w:r>
      </w:hyperlink>
    </w:p>
    <w:p w:rsidR="00052F88" w:rsidRDefault="00003DC0">
      <w:pPr>
        <w:spacing w:after="200" w:line="276" w:lineRule="auto"/>
        <w:rPr>
          <w:rFonts w:ascii="Times New Roman" w:hAnsi="Times New Roman"/>
          <w:color w:val="000000"/>
          <w:sz w:val="26"/>
          <w:szCs w:val="26"/>
        </w:rPr>
      </w:pPr>
      <w:r>
        <w:rPr>
          <w:rFonts w:ascii="Times New Roman" w:hAnsi="Times New Roman"/>
          <w:noProof/>
          <w:color w:val="000000"/>
          <w:sz w:val="26"/>
          <w:szCs w:val="26"/>
          <w:lang w:bidi="ar-SA"/>
        </w:rPr>
        <w:pict>
          <v:shape id="_x0000_s1055" type="#_x0000_t202" style="position:absolute;margin-left:178.9pt;margin-top:206.95pt;width:64.5pt;height:46.2pt;z-index:251672576" stroked="f">
            <v:textbox>
              <w:txbxContent>
                <w:p w:rsidR="008C0E1D" w:rsidRDefault="008C0E1D"/>
              </w:txbxContent>
            </v:textbox>
          </v:shape>
        </w:pict>
      </w:r>
      <w:r w:rsidR="00052F88">
        <w:rPr>
          <w:rFonts w:ascii="Times New Roman" w:hAnsi="Times New Roman"/>
          <w:color w:val="000000"/>
          <w:sz w:val="26"/>
          <w:szCs w:val="26"/>
        </w:rPr>
        <w:br w:type="page"/>
      </w:r>
    </w:p>
    <w:p w:rsidR="00DA4DD8" w:rsidRDefault="002777AF" w:rsidP="002777AF">
      <w:pPr>
        <w:spacing w:after="240" w:line="360" w:lineRule="auto"/>
        <w:ind w:left="720" w:hanging="720"/>
        <w:jc w:val="center"/>
        <w:rPr>
          <w:rFonts w:ascii="Times New Roman" w:hAnsi="Times New Roman"/>
          <w:b/>
          <w:caps/>
          <w:color w:val="000000"/>
          <w:sz w:val="26"/>
          <w:szCs w:val="26"/>
        </w:rPr>
      </w:pPr>
      <w:r w:rsidRPr="002777AF">
        <w:rPr>
          <w:rFonts w:ascii="Times New Roman" w:hAnsi="Times New Roman"/>
          <w:b/>
          <w:caps/>
          <w:color w:val="000000"/>
          <w:sz w:val="26"/>
          <w:szCs w:val="26"/>
        </w:rPr>
        <w:lastRenderedPageBreak/>
        <w:t>Appendix 1</w:t>
      </w:r>
    </w:p>
    <w:p w:rsidR="002777AF" w:rsidRPr="002777AF" w:rsidRDefault="002777AF" w:rsidP="002777AF">
      <w:pPr>
        <w:spacing w:after="240" w:line="360" w:lineRule="auto"/>
        <w:ind w:left="720" w:hanging="720"/>
        <w:jc w:val="center"/>
        <w:rPr>
          <w:rFonts w:ascii="Times New Roman" w:hAnsi="Times New Roman"/>
          <w:b/>
          <w:caps/>
          <w:color w:val="000000"/>
          <w:sz w:val="26"/>
          <w:szCs w:val="26"/>
        </w:rPr>
      </w:pPr>
      <w:r>
        <w:rPr>
          <w:rFonts w:ascii="Times New Roman" w:hAnsi="Times New Roman"/>
          <w:b/>
          <w:caps/>
          <w:color w:val="000000"/>
          <w:sz w:val="26"/>
          <w:szCs w:val="26"/>
        </w:rPr>
        <w:t>List of commercial bank</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74"/>
        <w:gridCol w:w="4435"/>
        <w:gridCol w:w="3216"/>
      </w:tblGrid>
      <w:tr w:rsidR="002777AF" w:rsidRPr="002777AF" w:rsidTr="002777AF">
        <w:trPr>
          <w:trHeight w:val="20"/>
        </w:trPr>
        <w:tc>
          <w:tcPr>
            <w:tcW w:w="513" w:type="pct"/>
          </w:tcPr>
          <w:p w:rsidR="002777AF" w:rsidRPr="002777AF" w:rsidRDefault="002777AF" w:rsidP="002777AF">
            <w:pPr>
              <w:spacing w:line="360" w:lineRule="auto"/>
              <w:jc w:val="center"/>
              <w:rPr>
                <w:rFonts w:ascii="Times New Roman" w:hAnsi="Times New Roman"/>
                <w:b/>
                <w:sz w:val="20"/>
              </w:rPr>
            </w:pPr>
            <w:r w:rsidRPr="002777AF">
              <w:rPr>
                <w:rFonts w:ascii="Times New Roman" w:hAnsi="Times New Roman"/>
                <w:b/>
                <w:sz w:val="20"/>
                <w:szCs w:val="22"/>
              </w:rPr>
              <w:t>S.NO.</w:t>
            </w:r>
          </w:p>
        </w:tc>
        <w:tc>
          <w:tcPr>
            <w:tcW w:w="2601" w:type="pct"/>
          </w:tcPr>
          <w:p w:rsidR="002777AF" w:rsidRPr="002777AF" w:rsidRDefault="002777AF" w:rsidP="002777AF">
            <w:pPr>
              <w:spacing w:line="360" w:lineRule="auto"/>
              <w:jc w:val="center"/>
              <w:rPr>
                <w:rFonts w:ascii="Times New Roman" w:hAnsi="Times New Roman"/>
                <w:b/>
                <w:sz w:val="20"/>
              </w:rPr>
            </w:pPr>
            <w:r w:rsidRPr="002777AF">
              <w:rPr>
                <w:rFonts w:ascii="Times New Roman" w:hAnsi="Times New Roman"/>
                <w:b/>
                <w:sz w:val="20"/>
                <w:szCs w:val="22"/>
              </w:rPr>
              <w:t>Names</w:t>
            </w:r>
          </w:p>
        </w:tc>
        <w:tc>
          <w:tcPr>
            <w:tcW w:w="1887" w:type="pct"/>
          </w:tcPr>
          <w:p w:rsidR="002777AF" w:rsidRPr="002777AF" w:rsidRDefault="002777AF" w:rsidP="002777AF">
            <w:pPr>
              <w:spacing w:line="360" w:lineRule="auto"/>
              <w:jc w:val="center"/>
              <w:rPr>
                <w:rFonts w:ascii="Times New Roman" w:hAnsi="Times New Roman"/>
                <w:b/>
                <w:sz w:val="20"/>
              </w:rPr>
            </w:pPr>
            <w:r w:rsidRPr="002777AF">
              <w:rPr>
                <w:rFonts w:ascii="Times New Roman" w:hAnsi="Times New Roman"/>
                <w:b/>
                <w:sz w:val="20"/>
                <w:szCs w:val="22"/>
              </w:rPr>
              <w:t>Head office</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1</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Nepal Bank Limited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Kathmandu</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2</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Rastriya Banijya Bank</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Kathmandu</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3</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Agriculture Development Bank Ltd.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Kathmandu</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4</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Nabil Bank Limited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Kathmandu</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5</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Nepal Investment Bank Limited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Kathmandu</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6</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Standard Chartered Bank Nepal Limited.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Kathmandu</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7</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Himalayan Bank Limited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Kathmandu</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8</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Nepal SBI Bank Limited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Kathmandu</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9</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Nepal Bangladesh Bank Limited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Kathmandu</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10</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Everest Bank Limited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Kathmandu</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11</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Bank of Kathmandu Limited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Kathmandu</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12</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Nepal Credit and Commerce Bank Limited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Siddharthanagar,Rupendehi</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13</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Lumbini Bank Limited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Narayangadh,Chitawan</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14</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Nepal Industrial &amp; Commercial Bank Limited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Biaratnagar,Morang</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15</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Machhapuchhre Bank Limited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Pokhara, Kaski</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16</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Kumari Bank Limited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Kathmandu</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17</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Laxmi Bank Limited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Birgunj, Parsa</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18</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Siddhartha Bank Limited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Kathmandu</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19</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Global Bank Ltd.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Birgunj, Parsa</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20</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Citizens Bank International Ltd.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Kathmandu</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21</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Prime Commercial Bank Ltd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Kathmandu</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22</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Sunrise Bank Ltd.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Kathmandu</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23</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Bank of Asia Nepal Ltd.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Kathmandu</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24</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Development Credit Bank Ltd.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Kamaladi, Kathmandu</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25</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NMB Bank Ltd.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Babarmahal, Kathmandu</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26</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Kist Bank Ltd.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Anamnagar, Kathmandu</w:t>
            </w:r>
          </w:p>
        </w:tc>
      </w:tr>
      <w:tr w:rsidR="002777AF" w:rsidRPr="002777AF" w:rsidTr="002777AF">
        <w:trPr>
          <w:trHeight w:val="20"/>
        </w:trPr>
        <w:tc>
          <w:tcPr>
            <w:tcW w:w="513"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27</w:t>
            </w:r>
          </w:p>
        </w:tc>
        <w:tc>
          <w:tcPr>
            <w:tcW w:w="2601"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Janata Bank Limited</w:t>
            </w:r>
          </w:p>
        </w:tc>
        <w:tc>
          <w:tcPr>
            <w:tcW w:w="1887" w:type="pct"/>
            <w:vAlign w:val="center"/>
          </w:tcPr>
          <w:p w:rsidR="002777AF" w:rsidRPr="002777AF" w:rsidRDefault="002777AF" w:rsidP="002777AF">
            <w:pPr>
              <w:snapToGrid w:val="0"/>
              <w:spacing w:line="360" w:lineRule="auto"/>
              <w:rPr>
                <w:rFonts w:ascii="Times New Roman" w:hAnsi="Times New Roman"/>
                <w:sz w:val="20"/>
              </w:rPr>
            </w:pPr>
            <w:r w:rsidRPr="002777AF">
              <w:rPr>
                <w:rFonts w:ascii="Times New Roman" w:hAnsi="Times New Roman"/>
                <w:sz w:val="20"/>
                <w:szCs w:val="22"/>
              </w:rPr>
              <w:t>New Baneshwor</w:t>
            </w:r>
          </w:p>
        </w:tc>
      </w:tr>
      <w:tr w:rsidR="002777AF" w:rsidRPr="002777AF" w:rsidTr="002777AF">
        <w:trPr>
          <w:trHeight w:val="20"/>
        </w:trPr>
        <w:tc>
          <w:tcPr>
            <w:tcW w:w="513" w:type="pct"/>
            <w:vAlign w:val="center"/>
          </w:tcPr>
          <w:p w:rsidR="002777AF" w:rsidRPr="002777AF" w:rsidRDefault="002777AF" w:rsidP="002777AF">
            <w:pPr>
              <w:snapToGrid w:val="0"/>
              <w:rPr>
                <w:rFonts w:ascii="Times New Roman" w:hAnsi="Times New Roman"/>
                <w:sz w:val="20"/>
              </w:rPr>
            </w:pPr>
            <w:r w:rsidRPr="002777AF">
              <w:rPr>
                <w:rFonts w:ascii="Times New Roman" w:hAnsi="Times New Roman"/>
                <w:sz w:val="20"/>
                <w:szCs w:val="22"/>
              </w:rPr>
              <w:t>28</w:t>
            </w:r>
          </w:p>
        </w:tc>
        <w:tc>
          <w:tcPr>
            <w:tcW w:w="2601" w:type="pct"/>
            <w:vAlign w:val="center"/>
          </w:tcPr>
          <w:p w:rsidR="002777AF" w:rsidRPr="002777AF" w:rsidRDefault="002777AF" w:rsidP="002777AF">
            <w:pPr>
              <w:snapToGrid w:val="0"/>
              <w:rPr>
                <w:rFonts w:ascii="Times New Roman" w:hAnsi="Times New Roman"/>
                <w:sz w:val="20"/>
              </w:rPr>
            </w:pPr>
            <w:r w:rsidRPr="002777AF">
              <w:rPr>
                <w:rFonts w:ascii="Times New Roman" w:hAnsi="Times New Roman"/>
                <w:sz w:val="20"/>
                <w:szCs w:val="22"/>
              </w:rPr>
              <w:t>Mega  Bank Limited</w:t>
            </w:r>
          </w:p>
        </w:tc>
        <w:tc>
          <w:tcPr>
            <w:tcW w:w="1887" w:type="pct"/>
            <w:vAlign w:val="center"/>
          </w:tcPr>
          <w:p w:rsidR="002777AF" w:rsidRPr="002777AF" w:rsidRDefault="002777AF" w:rsidP="002777AF">
            <w:pPr>
              <w:snapToGrid w:val="0"/>
              <w:rPr>
                <w:rFonts w:ascii="Times New Roman" w:hAnsi="Times New Roman"/>
                <w:sz w:val="20"/>
              </w:rPr>
            </w:pPr>
            <w:r w:rsidRPr="002777AF">
              <w:rPr>
                <w:rFonts w:ascii="Times New Roman" w:hAnsi="Times New Roman"/>
                <w:sz w:val="20"/>
                <w:szCs w:val="22"/>
              </w:rPr>
              <w:t>Kantipath,Kathmandu</w:t>
            </w:r>
          </w:p>
        </w:tc>
      </w:tr>
      <w:tr w:rsidR="002777AF" w:rsidRPr="002777AF" w:rsidTr="002777AF">
        <w:trPr>
          <w:trHeight w:val="20"/>
        </w:trPr>
        <w:tc>
          <w:tcPr>
            <w:tcW w:w="513" w:type="pct"/>
            <w:vAlign w:val="center"/>
          </w:tcPr>
          <w:p w:rsidR="002777AF" w:rsidRPr="002777AF" w:rsidRDefault="002777AF" w:rsidP="002777AF">
            <w:pPr>
              <w:snapToGrid w:val="0"/>
              <w:rPr>
                <w:rFonts w:ascii="Times New Roman" w:hAnsi="Times New Roman"/>
                <w:sz w:val="20"/>
              </w:rPr>
            </w:pPr>
            <w:r w:rsidRPr="002777AF">
              <w:rPr>
                <w:rFonts w:ascii="Times New Roman" w:hAnsi="Times New Roman"/>
                <w:sz w:val="20"/>
                <w:szCs w:val="22"/>
              </w:rPr>
              <w:t>29</w:t>
            </w:r>
          </w:p>
        </w:tc>
        <w:tc>
          <w:tcPr>
            <w:tcW w:w="2601" w:type="pct"/>
            <w:vAlign w:val="center"/>
          </w:tcPr>
          <w:p w:rsidR="002777AF" w:rsidRPr="002777AF" w:rsidRDefault="002777AF" w:rsidP="002777AF">
            <w:pPr>
              <w:snapToGrid w:val="0"/>
              <w:rPr>
                <w:rFonts w:ascii="Times New Roman" w:hAnsi="Times New Roman"/>
                <w:sz w:val="20"/>
              </w:rPr>
            </w:pPr>
            <w:r w:rsidRPr="002777AF">
              <w:rPr>
                <w:rFonts w:ascii="Times New Roman" w:hAnsi="Times New Roman"/>
                <w:sz w:val="20"/>
                <w:szCs w:val="22"/>
              </w:rPr>
              <w:t>Commercial and Trust Bank Limited</w:t>
            </w:r>
          </w:p>
        </w:tc>
        <w:tc>
          <w:tcPr>
            <w:tcW w:w="1887" w:type="pct"/>
            <w:vAlign w:val="center"/>
          </w:tcPr>
          <w:p w:rsidR="002777AF" w:rsidRPr="002777AF" w:rsidRDefault="002777AF" w:rsidP="002777AF">
            <w:pPr>
              <w:snapToGrid w:val="0"/>
              <w:rPr>
                <w:rFonts w:ascii="Times New Roman" w:hAnsi="Times New Roman"/>
                <w:sz w:val="20"/>
              </w:rPr>
            </w:pPr>
            <w:r w:rsidRPr="002777AF">
              <w:rPr>
                <w:rFonts w:ascii="Times New Roman" w:hAnsi="Times New Roman"/>
                <w:sz w:val="20"/>
                <w:szCs w:val="22"/>
              </w:rPr>
              <w:t>Kamaladi,Kathmandu</w:t>
            </w:r>
          </w:p>
        </w:tc>
      </w:tr>
      <w:tr w:rsidR="002777AF" w:rsidRPr="002777AF" w:rsidTr="002777AF">
        <w:trPr>
          <w:trHeight w:val="476"/>
        </w:trPr>
        <w:tc>
          <w:tcPr>
            <w:tcW w:w="513" w:type="pct"/>
            <w:vAlign w:val="center"/>
          </w:tcPr>
          <w:p w:rsidR="002777AF" w:rsidRPr="002777AF" w:rsidRDefault="002777AF" w:rsidP="002777AF">
            <w:pPr>
              <w:snapToGrid w:val="0"/>
              <w:rPr>
                <w:rFonts w:ascii="Times New Roman" w:hAnsi="Times New Roman"/>
                <w:sz w:val="20"/>
              </w:rPr>
            </w:pPr>
            <w:r w:rsidRPr="002777AF">
              <w:rPr>
                <w:rFonts w:ascii="Times New Roman" w:hAnsi="Times New Roman"/>
                <w:sz w:val="20"/>
                <w:szCs w:val="22"/>
              </w:rPr>
              <w:t>30</w:t>
            </w:r>
          </w:p>
        </w:tc>
        <w:tc>
          <w:tcPr>
            <w:tcW w:w="2601" w:type="pct"/>
            <w:vAlign w:val="center"/>
          </w:tcPr>
          <w:p w:rsidR="002777AF" w:rsidRPr="002777AF" w:rsidRDefault="002777AF" w:rsidP="002777AF">
            <w:pPr>
              <w:snapToGrid w:val="0"/>
              <w:rPr>
                <w:rFonts w:ascii="Times New Roman" w:hAnsi="Times New Roman"/>
                <w:sz w:val="20"/>
              </w:rPr>
            </w:pPr>
            <w:r w:rsidRPr="002777AF">
              <w:rPr>
                <w:rFonts w:ascii="Times New Roman" w:hAnsi="Times New Roman"/>
                <w:sz w:val="20"/>
                <w:szCs w:val="22"/>
              </w:rPr>
              <w:t>Century Bank Limited</w:t>
            </w:r>
          </w:p>
        </w:tc>
        <w:tc>
          <w:tcPr>
            <w:tcW w:w="1887" w:type="pct"/>
            <w:vAlign w:val="center"/>
          </w:tcPr>
          <w:p w:rsidR="002777AF" w:rsidRPr="002777AF" w:rsidRDefault="002777AF" w:rsidP="002777AF">
            <w:pPr>
              <w:snapToGrid w:val="0"/>
              <w:rPr>
                <w:rFonts w:ascii="Times New Roman" w:hAnsi="Times New Roman"/>
                <w:sz w:val="20"/>
              </w:rPr>
            </w:pPr>
            <w:r w:rsidRPr="002777AF">
              <w:rPr>
                <w:rFonts w:ascii="Times New Roman" w:hAnsi="Times New Roman"/>
                <w:sz w:val="20"/>
                <w:szCs w:val="22"/>
              </w:rPr>
              <w:t>Putalisadak, Kathmandu</w:t>
            </w:r>
          </w:p>
        </w:tc>
      </w:tr>
      <w:tr w:rsidR="002777AF" w:rsidRPr="002777AF" w:rsidTr="002777AF">
        <w:trPr>
          <w:trHeight w:val="20"/>
        </w:trPr>
        <w:tc>
          <w:tcPr>
            <w:tcW w:w="513" w:type="pct"/>
            <w:vAlign w:val="center"/>
          </w:tcPr>
          <w:p w:rsidR="002777AF" w:rsidRPr="002777AF" w:rsidRDefault="002777AF" w:rsidP="002777AF">
            <w:pPr>
              <w:snapToGrid w:val="0"/>
              <w:rPr>
                <w:rFonts w:ascii="Times New Roman" w:hAnsi="Times New Roman"/>
                <w:sz w:val="20"/>
              </w:rPr>
            </w:pPr>
            <w:r w:rsidRPr="002777AF">
              <w:rPr>
                <w:rFonts w:ascii="Times New Roman" w:hAnsi="Times New Roman"/>
                <w:sz w:val="20"/>
                <w:szCs w:val="22"/>
              </w:rPr>
              <w:t>31</w:t>
            </w:r>
          </w:p>
        </w:tc>
        <w:tc>
          <w:tcPr>
            <w:tcW w:w="2601" w:type="pct"/>
            <w:vAlign w:val="center"/>
          </w:tcPr>
          <w:p w:rsidR="002777AF" w:rsidRPr="002777AF" w:rsidRDefault="002777AF" w:rsidP="002777AF">
            <w:pPr>
              <w:snapToGrid w:val="0"/>
              <w:rPr>
                <w:rFonts w:ascii="Times New Roman" w:hAnsi="Times New Roman"/>
                <w:sz w:val="20"/>
              </w:rPr>
            </w:pPr>
            <w:r w:rsidRPr="002777AF">
              <w:rPr>
                <w:rFonts w:ascii="Times New Roman" w:hAnsi="Times New Roman"/>
                <w:sz w:val="20"/>
                <w:szCs w:val="22"/>
              </w:rPr>
              <w:t>Civil  Bank Limited</w:t>
            </w:r>
          </w:p>
        </w:tc>
        <w:tc>
          <w:tcPr>
            <w:tcW w:w="1887" w:type="pct"/>
            <w:vAlign w:val="center"/>
          </w:tcPr>
          <w:p w:rsidR="002777AF" w:rsidRPr="002777AF" w:rsidRDefault="002777AF" w:rsidP="002777AF">
            <w:pPr>
              <w:snapToGrid w:val="0"/>
              <w:rPr>
                <w:rFonts w:ascii="Times New Roman" w:hAnsi="Times New Roman"/>
                <w:sz w:val="20"/>
              </w:rPr>
            </w:pPr>
            <w:r w:rsidRPr="002777AF">
              <w:rPr>
                <w:rFonts w:ascii="Times New Roman" w:hAnsi="Times New Roman"/>
                <w:sz w:val="20"/>
                <w:szCs w:val="22"/>
              </w:rPr>
              <w:t>Classic Complex,Tindhara</w:t>
            </w:r>
          </w:p>
        </w:tc>
      </w:tr>
      <w:tr w:rsidR="002777AF" w:rsidRPr="002777AF" w:rsidTr="002777AF">
        <w:trPr>
          <w:trHeight w:val="20"/>
        </w:trPr>
        <w:tc>
          <w:tcPr>
            <w:tcW w:w="513" w:type="pct"/>
            <w:vAlign w:val="center"/>
          </w:tcPr>
          <w:p w:rsidR="002777AF" w:rsidRPr="002777AF" w:rsidRDefault="002777AF" w:rsidP="002777AF">
            <w:pPr>
              <w:snapToGrid w:val="0"/>
              <w:rPr>
                <w:rFonts w:ascii="Times New Roman" w:hAnsi="Times New Roman"/>
                <w:sz w:val="20"/>
              </w:rPr>
            </w:pPr>
            <w:r w:rsidRPr="002777AF">
              <w:rPr>
                <w:rFonts w:ascii="Times New Roman" w:hAnsi="Times New Roman"/>
                <w:sz w:val="20"/>
                <w:szCs w:val="22"/>
              </w:rPr>
              <w:t>32.</w:t>
            </w:r>
          </w:p>
        </w:tc>
        <w:tc>
          <w:tcPr>
            <w:tcW w:w="2601" w:type="pct"/>
            <w:vAlign w:val="center"/>
          </w:tcPr>
          <w:p w:rsidR="002777AF" w:rsidRPr="002777AF" w:rsidRDefault="002777AF" w:rsidP="002777AF">
            <w:pPr>
              <w:snapToGrid w:val="0"/>
              <w:rPr>
                <w:rFonts w:ascii="Times New Roman" w:hAnsi="Times New Roman"/>
                <w:sz w:val="20"/>
              </w:rPr>
            </w:pPr>
            <w:r w:rsidRPr="002777AF">
              <w:rPr>
                <w:rFonts w:ascii="Times New Roman" w:hAnsi="Times New Roman"/>
                <w:sz w:val="20"/>
                <w:szCs w:val="22"/>
              </w:rPr>
              <w:t xml:space="preserve">Sanima Bikash Bank </w:t>
            </w:r>
          </w:p>
        </w:tc>
        <w:tc>
          <w:tcPr>
            <w:tcW w:w="1887" w:type="pct"/>
            <w:vAlign w:val="center"/>
          </w:tcPr>
          <w:p w:rsidR="002777AF" w:rsidRPr="002777AF" w:rsidRDefault="002777AF" w:rsidP="002777AF">
            <w:pPr>
              <w:snapToGrid w:val="0"/>
              <w:rPr>
                <w:rFonts w:ascii="Times New Roman" w:hAnsi="Times New Roman"/>
                <w:sz w:val="20"/>
              </w:rPr>
            </w:pPr>
            <w:r w:rsidRPr="002777AF">
              <w:rPr>
                <w:rFonts w:ascii="Times New Roman" w:hAnsi="Times New Roman"/>
                <w:sz w:val="20"/>
                <w:szCs w:val="22"/>
              </w:rPr>
              <w:t xml:space="preserve">Alakpuri, Narayanchaur </w:t>
            </w:r>
          </w:p>
          <w:p w:rsidR="002777AF" w:rsidRPr="002777AF" w:rsidRDefault="002777AF" w:rsidP="002777AF">
            <w:pPr>
              <w:snapToGrid w:val="0"/>
              <w:rPr>
                <w:rFonts w:ascii="Times New Roman" w:hAnsi="Times New Roman"/>
                <w:sz w:val="20"/>
              </w:rPr>
            </w:pPr>
            <w:r w:rsidRPr="002777AF">
              <w:rPr>
                <w:rFonts w:ascii="Times New Roman" w:hAnsi="Times New Roman"/>
                <w:sz w:val="20"/>
                <w:szCs w:val="22"/>
              </w:rPr>
              <w:t>Naksal, Kathmandu</w:t>
            </w:r>
          </w:p>
        </w:tc>
      </w:tr>
      <w:tr w:rsidR="002777AF" w:rsidRPr="002777AF" w:rsidTr="002777AF">
        <w:trPr>
          <w:trHeight w:val="20"/>
        </w:trPr>
        <w:tc>
          <w:tcPr>
            <w:tcW w:w="513" w:type="pct"/>
            <w:vAlign w:val="center"/>
          </w:tcPr>
          <w:p w:rsidR="002777AF" w:rsidRPr="002777AF" w:rsidRDefault="002777AF" w:rsidP="002777AF">
            <w:pPr>
              <w:snapToGrid w:val="0"/>
              <w:rPr>
                <w:rFonts w:ascii="Times New Roman" w:hAnsi="Times New Roman"/>
                <w:sz w:val="20"/>
              </w:rPr>
            </w:pPr>
            <w:r w:rsidRPr="002777AF">
              <w:rPr>
                <w:rFonts w:ascii="Times New Roman" w:hAnsi="Times New Roman"/>
                <w:sz w:val="20"/>
                <w:szCs w:val="22"/>
              </w:rPr>
              <w:t>33</w:t>
            </w:r>
          </w:p>
        </w:tc>
        <w:tc>
          <w:tcPr>
            <w:tcW w:w="2601" w:type="pct"/>
            <w:vAlign w:val="center"/>
          </w:tcPr>
          <w:p w:rsidR="002777AF" w:rsidRPr="002777AF" w:rsidRDefault="002777AF" w:rsidP="002777AF">
            <w:pPr>
              <w:snapToGrid w:val="0"/>
              <w:rPr>
                <w:rFonts w:ascii="Times New Roman" w:hAnsi="Times New Roman"/>
                <w:sz w:val="20"/>
              </w:rPr>
            </w:pPr>
            <w:r w:rsidRPr="002777AF">
              <w:rPr>
                <w:rFonts w:ascii="Times New Roman" w:hAnsi="Times New Roman"/>
                <w:sz w:val="20"/>
                <w:szCs w:val="22"/>
              </w:rPr>
              <w:t xml:space="preserve">Grand Bank Nepal Limited </w:t>
            </w:r>
          </w:p>
        </w:tc>
        <w:tc>
          <w:tcPr>
            <w:tcW w:w="1887" w:type="pct"/>
            <w:vAlign w:val="center"/>
          </w:tcPr>
          <w:p w:rsidR="002777AF" w:rsidRPr="002777AF" w:rsidRDefault="002777AF" w:rsidP="002777AF">
            <w:pPr>
              <w:snapToGrid w:val="0"/>
              <w:rPr>
                <w:rFonts w:ascii="Times New Roman" w:hAnsi="Times New Roman"/>
                <w:sz w:val="20"/>
              </w:rPr>
            </w:pPr>
            <w:r w:rsidRPr="002777AF">
              <w:rPr>
                <w:rFonts w:ascii="Times New Roman" w:hAnsi="Times New Roman"/>
                <w:sz w:val="20"/>
                <w:szCs w:val="22"/>
              </w:rPr>
              <w:t>Kalimati Kathmandu</w:t>
            </w:r>
          </w:p>
        </w:tc>
      </w:tr>
    </w:tbl>
    <w:p w:rsidR="00464314" w:rsidRPr="00FD1AA2" w:rsidRDefault="00003DC0" w:rsidP="00FD1AA2">
      <w:pPr>
        <w:spacing w:after="240" w:line="360" w:lineRule="auto"/>
        <w:jc w:val="both"/>
        <w:rPr>
          <w:rFonts w:ascii="Times New Roman" w:hAnsi="Times New Roman"/>
          <w:szCs w:val="28"/>
        </w:rPr>
      </w:pPr>
      <w:r>
        <w:rPr>
          <w:rFonts w:ascii="Times New Roman" w:hAnsi="Times New Roman"/>
          <w:noProof/>
          <w:szCs w:val="28"/>
          <w:lang w:bidi="ar-SA"/>
        </w:rPr>
        <w:pict>
          <v:shape id="_x0000_s1056" type="#_x0000_t202" style="position:absolute;left:0;text-align:left;margin-left:178.95pt;margin-top:15.55pt;width:85.95pt;height:43pt;z-index:251673600;mso-position-horizontal-relative:text;mso-position-vertical-relative:text" stroked="f">
            <v:textbox>
              <w:txbxContent>
                <w:p w:rsidR="008C0E1D" w:rsidRDefault="008C0E1D"/>
              </w:txbxContent>
            </v:textbox>
          </v:shape>
        </w:pict>
      </w:r>
    </w:p>
    <w:sectPr w:rsidR="00464314" w:rsidRPr="00FD1AA2" w:rsidSect="00D053D8">
      <w:footerReference w:type="default" r:id="rId26"/>
      <w:pgSz w:w="11909" w:h="16834" w:code="9"/>
      <w:pgMar w:top="1728" w:right="1440" w:bottom="1440" w:left="2160" w:header="720" w:footer="779"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4162F" w:rsidRDefault="0064162F" w:rsidP="00DF7A2E">
      <w:r>
        <w:separator/>
      </w:r>
    </w:p>
  </w:endnote>
  <w:endnote w:type="continuationSeparator" w:id="1">
    <w:p w:rsidR="0064162F" w:rsidRDefault="0064162F" w:rsidP="00DF7A2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SimSun">
    <w:altName w:val="宋体"/>
    <w:panose1 w:val="02010600030101010101"/>
    <w:charset w:val="86"/>
    <w:family w:val="auto"/>
    <w:pitch w:val="variable"/>
    <w:sig w:usb0="00000003" w:usb1="080E0000" w:usb2="00000010" w:usb3="00000000" w:csb0="00040001" w:csb1="00000000"/>
  </w:font>
  <w:font w:name="Tahoma">
    <w:panose1 w:val="020B0604030504040204"/>
    <w:charset w:val="00"/>
    <w:family w:val="swiss"/>
    <w:pitch w:val="variable"/>
    <w:sig w:usb0="61002A87" w:usb1="80000000" w:usb2="00000008" w:usb3="00000000" w:csb0="000101FF" w:csb1="00000000"/>
  </w:font>
  <w:font w:name="Angsana New">
    <w:panose1 w:val="02020603050405020304"/>
    <w:charset w:val="00"/>
    <w:family w:val="roman"/>
    <w:pitch w:val="variable"/>
    <w:sig w:usb0="01000003" w:usb1="00000000" w:usb2="00000000" w:usb3="00000000" w:csb0="00010001" w:csb1="00000000"/>
  </w:font>
  <w:font w:name="Cambria Math">
    <w:panose1 w:val="02040503050406030204"/>
    <w:charset w:val="00"/>
    <w:family w:val="roman"/>
    <w:pitch w:val="variable"/>
    <w:sig w:usb0="A00002EF" w:usb1="420020EB" w:usb2="00000000" w:usb3="00000000" w:csb0="0000009F" w:csb1="00000000"/>
  </w:font>
  <w:font w:name="MS Gothic">
    <w:altName w:val="ＭＳ ゴシック"/>
    <w:panose1 w:val="020B06090702050802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0E1D" w:rsidRPr="001D2379" w:rsidRDefault="008C0E1D">
    <w:pPr>
      <w:pStyle w:val="Footer"/>
      <w:jc w:val="center"/>
      <w:rPr>
        <w:rFonts w:ascii="Times New Roman" w:hAnsi="Times New Roman"/>
      </w:rPr>
    </w:pPr>
    <w:r w:rsidRPr="001D2379">
      <w:rPr>
        <w:rFonts w:ascii="Times New Roman" w:hAnsi="Times New Roman"/>
      </w:rPr>
      <w:fldChar w:fldCharType="begin"/>
    </w:r>
    <w:r w:rsidRPr="001D2379">
      <w:rPr>
        <w:rFonts w:ascii="Times New Roman" w:hAnsi="Times New Roman"/>
      </w:rPr>
      <w:instrText xml:space="preserve"> PAGE   \* MERGEFORMAT </w:instrText>
    </w:r>
    <w:r w:rsidRPr="001D2379">
      <w:rPr>
        <w:rFonts w:ascii="Times New Roman" w:hAnsi="Times New Roman"/>
      </w:rPr>
      <w:fldChar w:fldCharType="separate"/>
    </w:r>
    <w:r w:rsidR="00EE70E6">
      <w:rPr>
        <w:rFonts w:ascii="Times New Roman" w:hAnsi="Times New Roman"/>
        <w:noProof/>
      </w:rPr>
      <w:t>26</w:t>
    </w:r>
    <w:r w:rsidRPr="001D2379">
      <w:rPr>
        <w:rFonts w:ascii="Times New Roman" w:hAnsi="Times New Roman"/>
      </w:rPr>
      <w:fldChar w:fldCharType="end"/>
    </w:r>
  </w:p>
  <w:p w:rsidR="008C0E1D" w:rsidRDefault="008C0E1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4162F" w:rsidRDefault="0064162F" w:rsidP="00DF7A2E">
      <w:r>
        <w:separator/>
      </w:r>
    </w:p>
  </w:footnote>
  <w:footnote w:type="continuationSeparator" w:id="1">
    <w:p w:rsidR="0064162F" w:rsidRDefault="0064162F" w:rsidP="00DF7A2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2E9EB268"/>
    <w:lvl w:ilvl="0">
      <w:start w:val="1"/>
      <w:numFmt w:val="bullet"/>
      <w:lvlText w:val=""/>
      <w:lvlJc w:val="left"/>
      <w:pPr>
        <w:tabs>
          <w:tab w:val="num" w:pos="360"/>
        </w:tabs>
        <w:ind w:left="360" w:hanging="360"/>
      </w:pPr>
      <w:rPr>
        <w:rFonts w:ascii="Symbol" w:hAnsi="Symbol" w:hint="default"/>
      </w:rPr>
    </w:lvl>
  </w:abstractNum>
  <w:abstractNum w:abstractNumId="1">
    <w:nsid w:val="00000003"/>
    <w:multiLevelType w:val="multilevel"/>
    <w:tmpl w:val="CF2A254C"/>
    <w:lvl w:ilvl="0">
      <w:start w:val="1"/>
      <w:numFmt w:val="decimal"/>
      <w:lvlText w:val="%1."/>
      <w:lvlJc w:val="left"/>
      <w:pPr>
        <w:tabs>
          <w:tab w:val="num" w:pos="1080"/>
        </w:tabs>
        <w:ind w:left="1080" w:hanging="360"/>
      </w:pPr>
    </w:lvl>
    <w:lvl w:ilvl="1">
      <w:start w:val="5"/>
      <w:numFmt w:val="decimal"/>
      <w:isLgl/>
      <w:lvlText w:val="%1.%2"/>
      <w:lvlJc w:val="left"/>
      <w:pPr>
        <w:ind w:left="1380" w:hanging="6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nsid w:val="0FC05B1B"/>
    <w:multiLevelType w:val="hybridMultilevel"/>
    <w:tmpl w:val="437A1AF2"/>
    <w:lvl w:ilvl="0" w:tplc="04E06904">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0524D98"/>
    <w:multiLevelType w:val="hybridMultilevel"/>
    <w:tmpl w:val="E578CF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1483346"/>
    <w:multiLevelType w:val="hybridMultilevel"/>
    <w:tmpl w:val="D996128A"/>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5">
    <w:nsid w:val="12E471D0"/>
    <w:multiLevelType w:val="hybridMultilevel"/>
    <w:tmpl w:val="2D86B432"/>
    <w:lvl w:ilvl="0" w:tplc="5F3009B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4C27DBF"/>
    <w:multiLevelType w:val="multilevel"/>
    <w:tmpl w:val="5A9A59C6"/>
    <w:lvl w:ilvl="0">
      <w:start w:val="1"/>
      <w:numFmt w:val="bullet"/>
      <w:lvlText w:val=""/>
      <w:lvlJc w:val="left"/>
      <w:pPr>
        <w:ind w:left="360" w:hanging="360"/>
      </w:pPr>
      <w:rPr>
        <w:rFonts w:ascii="Wingdings" w:hAnsi="Wingdings" w:hint="default"/>
        <w:b w:val="0"/>
      </w:rPr>
    </w:lvl>
    <w:lvl w:ilvl="1">
      <w:start w:val="1"/>
      <w:numFmt w:val="decimal"/>
      <w:isLgl/>
      <w:lvlText w:val="%1.%2"/>
      <w:lvlJc w:val="left"/>
      <w:pPr>
        <w:ind w:left="780" w:hanging="780"/>
      </w:pPr>
      <w:rPr>
        <w:rFonts w:hint="default"/>
      </w:rPr>
    </w:lvl>
    <w:lvl w:ilvl="2">
      <w:start w:val="3"/>
      <w:numFmt w:val="decimal"/>
      <w:isLgl/>
      <w:lvlText w:val="%1.%2.%3"/>
      <w:lvlJc w:val="left"/>
      <w:pPr>
        <w:ind w:left="780" w:hanging="780"/>
      </w:pPr>
      <w:rPr>
        <w:rFonts w:hint="default"/>
      </w:rPr>
    </w:lvl>
    <w:lvl w:ilvl="3">
      <w:start w:val="3"/>
      <w:numFmt w:val="decimal"/>
      <w:isLgl/>
      <w:lvlText w:val="%1.%2.%3.%4"/>
      <w:lvlJc w:val="left"/>
      <w:pPr>
        <w:ind w:left="780" w:hanging="7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7">
    <w:nsid w:val="1AD50F53"/>
    <w:multiLevelType w:val="hybridMultilevel"/>
    <w:tmpl w:val="0B32C9A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CEA0042"/>
    <w:multiLevelType w:val="hybridMultilevel"/>
    <w:tmpl w:val="2B20CDD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E986181"/>
    <w:multiLevelType w:val="multilevel"/>
    <w:tmpl w:val="5A9A59C6"/>
    <w:lvl w:ilvl="0">
      <w:start w:val="1"/>
      <w:numFmt w:val="bullet"/>
      <w:lvlText w:val=""/>
      <w:lvlJc w:val="left"/>
      <w:pPr>
        <w:ind w:left="360" w:hanging="360"/>
      </w:pPr>
      <w:rPr>
        <w:rFonts w:ascii="Wingdings" w:hAnsi="Wingdings" w:hint="default"/>
        <w:b w:val="0"/>
      </w:rPr>
    </w:lvl>
    <w:lvl w:ilvl="1">
      <w:start w:val="1"/>
      <w:numFmt w:val="decimal"/>
      <w:isLgl/>
      <w:lvlText w:val="%1.%2"/>
      <w:lvlJc w:val="left"/>
      <w:pPr>
        <w:ind w:left="780" w:hanging="780"/>
      </w:pPr>
      <w:rPr>
        <w:rFonts w:hint="default"/>
      </w:rPr>
    </w:lvl>
    <w:lvl w:ilvl="2">
      <w:start w:val="3"/>
      <w:numFmt w:val="decimal"/>
      <w:isLgl/>
      <w:lvlText w:val="%1.%2.%3"/>
      <w:lvlJc w:val="left"/>
      <w:pPr>
        <w:ind w:left="780" w:hanging="780"/>
      </w:pPr>
      <w:rPr>
        <w:rFonts w:hint="default"/>
      </w:rPr>
    </w:lvl>
    <w:lvl w:ilvl="3">
      <w:start w:val="3"/>
      <w:numFmt w:val="decimal"/>
      <w:isLgl/>
      <w:lvlText w:val="%1.%2.%3.%4"/>
      <w:lvlJc w:val="left"/>
      <w:pPr>
        <w:ind w:left="780" w:hanging="7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0">
    <w:nsid w:val="204B11C5"/>
    <w:multiLevelType w:val="hybridMultilevel"/>
    <w:tmpl w:val="EBA472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268304E"/>
    <w:multiLevelType w:val="hybridMultilevel"/>
    <w:tmpl w:val="9E7684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1956D1"/>
    <w:multiLevelType w:val="multilevel"/>
    <w:tmpl w:val="5A9A59C6"/>
    <w:lvl w:ilvl="0">
      <w:start w:val="1"/>
      <w:numFmt w:val="bullet"/>
      <w:lvlText w:val=""/>
      <w:lvlJc w:val="left"/>
      <w:pPr>
        <w:ind w:left="360" w:hanging="360"/>
      </w:pPr>
      <w:rPr>
        <w:rFonts w:ascii="Wingdings" w:hAnsi="Wingdings" w:hint="default"/>
        <w:b w:val="0"/>
      </w:rPr>
    </w:lvl>
    <w:lvl w:ilvl="1">
      <w:start w:val="1"/>
      <w:numFmt w:val="decimal"/>
      <w:isLgl/>
      <w:lvlText w:val="%1.%2"/>
      <w:lvlJc w:val="left"/>
      <w:pPr>
        <w:ind w:left="780" w:hanging="780"/>
      </w:pPr>
      <w:rPr>
        <w:rFonts w:hint="default"/>
      </w:rPr>
    </w:lvl>
    <w:lvl w:ilvl="2">
      <w:start w:val="3"/>
      <w:numFmt w:val="decimal"/>
      <w:isLgl/>
      <w:lvlText w:val="%1.%2.%3"/>
      <w:lvlJc w:val="left"/>
      <w:pPr>
        <w:ind w:left="780" w:hanging="780"/>
      </w:pPr>
      <w:rPr>
        <w:rFonts w:hint="default"/>
      </w:rPr>
    </w:lvl>
    <w:lvl w:ilvl="3">
      <w:start w:val="3"/>
      <w:numFmt w:val="decimal"/>
      <w:isLgl/>
      <w:lvlText w:val="%1.%2.%3.%4"/>
      <w:lvlJc w:val="left"/>
      <w:pPr>
        <w:ind w:left="780" w:hanging="7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
    <w:nsid w:val="25793E04"/>
    <w:multiLevelType w:val="multilevel"/>
    <w:tmpl w:val="5A9A59C6"/>
    <w:lvl w:ilvl="0">
      <w:start w:val="1"/>
      <w:numFmt w:val="bullet"/>
      <w:lvlText w:val=""/>
      <w:lvlJc w:val="left"/>
      <w:pPr>
        <w:ind w:left="360" w:hanging="360"/>
      </w:pPr>
      <w:rPr>
        <w:rFonts w:ascii="Wingdings" w:hAnsi="Wingdings" w:hint="default"/>
        <w:b w:val="0"/>
      </w:rPr>
    </w:lvl>
    <w:lvl w:ilvl="1">
      <w:start w:val="1"/>
      <w:numFmt w:val="decimal"/>
      <w:isLgl/>
      <w:lvlText w:val="%1.%2"/>
      <w:lvlJc w:val="left"/>
      <w:pPr>
        <w:ind w:left="780" w:hanging="780"/>
      </w:pPr>
      <w:rPr>
        <w:rFonts w:hint="default"/>
      </w:rPr>
    </w:lvl>
    <w:lvl w:ilvl="2">
      <w:start w:val="3"/>
      <w:numFmt w:val="decimal"/>
      <w:isLgl/>
      <w:lvlText w:val="%1.%2.%3"/>
      <w:lvlJc w:val="left"/>
      <w:pPr>
        <w:ind w:left="780" w:hanging="780"/>
      </w:pPr>
      <w:rPr>
        <w:rFonts w:hint="default"/>
      </w:rPr>
    </w:lvl>
    <w:lvl w:ilvl="3">
      <w:start w:val="3"/>
      <w:numFmt w:val="decimal"/>
      <w:isLgl/>
      <w:lvlText w:val="%1.%2.%3.%4"/>
      <w:lvlJc w:val="left"/>
      <w:pPr>
        <w:ind w:left="780" w:hanging="7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4">
    <w:nsid w:val="27355DD3"/>
    <w:multiLevelType w:val="multilevel"/>
    <w:tmpl w:val="CC823EFC"/>
    <w:lvl w:ilvl="0">
      <w:start w:val="1"/>
      <w:numFmt w:val="decimal"/>
      <w:lvlText w:val="%1."/>
      <w:lvlJc w:val="left"/>
      <w:pPr>
        <w:ind w:left="360" w:firstLine="720"/>
      </w:pPr>
      <w:rPr>
        <w:rFonts w:hint="default"/>
      </w:rPr>
    </w:lvl>
    <w:lvl w:ilvl="1">
      <w:start w:val="1"/>
      <w:numFmt w:val="decimal"/>
      <w:isLgl/>
      <w:lvlText w:val="%1.%2"/>
      <w:lvlJc w:val="left"/>
      <w:pPr>
        <w:ind w:left="360" w:firstLine="720"/>
      </w:pPr>
      <w:rPr>
        <w:rFonts w:hint="default"/>
      </w:rPr>
    </w:lvl>
    <w:lvl w:ilvl="2">
      <w:start w:val="3"/>
      <w:numFmt w:val="decimal"/>
      <w:isLgl/>
      <w:lvlText w:val="%1.%2.%3"/>
      <w:lvlJc w:val="left"/>
      <w:pPr>
        <w:ind w:left="360" w:firstLine="720"/>
      </w:pPr>
      <w:rPr>
        <w:rFonts w:hint="default"/>
      </w:rPr>
    </w:lvl>
    <w:lvl w:ilvl="3">
      <w:start w:val="3"/>
      <w:numFmt w:val="decimal"/>
      <w:isLgl/>
      <w:lvlText w:val="%1.%2.%3.%4"/>
      <w:lvlJc w:val="left"/>
      <w:pPr>
        <w:ind w:left="360" w:firstLine="720"/>
      </w:pPr>
      <w:rPr>
        <w:rFonts w:hint="default"/>
      </w:rPr>
    </w:lvl>
    <w:lvl w:ilvl="4">
      <w:start w:val="1"/>
      <w:numFmt w:val="decimal"/>
      <w:isLgl/>
      <w:lvlText w:val="%1.%2.%3.%4.%5"/>
      <w:lvlJc w:val="left"/>
      <w:pPr>
        <w:ind w:left="360" w:firstLine="720"/>
      </w:pPr>
      <w:rPr>
        <w:rFonts w:hint="default"/>
      </w:rPr>
    </w:lvl>
    <w:lvl w:ilvl="5">
      <w:start w:val="1"/>
      <w:numFmt w:val="decimal"/>
      <w:isLgl/>
      <w:lvlText w:val="%1.%2.%3.%4.%5.%6"/>
      <w:lvlJc w:val="left"/>
      <w:pPr>
        <w:ind w:left="360" w:firstLine="720"/>
      </w:pPr>
      <w:rPr>
        <w:rFonts w:hint="default"/>
      </w:rPr>
    </w:lvl>
    <w:lvl w:ilvl="6">
      <w:start w:val="1"/>
      <w:numFmt w:val="decimal"/>
      <w:isLgl/>
      <w:lvlText w:val="%1.%2.%3.%4.%5.%6.%7"/>
      <w:lvlJc w:val="left"/>
      <w:pPr>
        <w:ind w:left="360" w:firstLine="720"/>
      </w:pPr>
      <w:rPr>
        <w:rFonts w:hint="default"/>
      </w:rPr>
    </w:lvl>
    <w:lvl w:ilvl="7">
      <w:start w:val="1"/>
      <w:numFmt w:val="decimal"/>
      <w:isLgl/>
      <w:lvlText w:val="%1.%2.%3.%4.%5.%6.%7.%8"/>
      <w:lvlJc w:val="left"/>
      <w:pPr>
        <w:ind w:left="360" w:firstLine="720"/>
      </w:pPr>
      <w:rPr>
        <w:rFonts w:hint="default"/>
      </w:rPr>
    </w:lvl>
    <w:lvl w:ilvl="8">
      <w:start w:val="1"/>
      <w:numFmt w:val="decimal"/>
      <w:isLgl/>
      <w:lvlText w:val="%1.%2.%3.%4.%5.%6.%7.%8.%9"/>
      <w:lvlJc w:val="left"/>
      <w:pPr>
        <w:ind w:left="360" w:firstLine="720"/>
      </w:pPr>
      <w:rPr>
        <w:rFonts w:hint="default"/>
      </w:rPr>
    </w:lvl>
  </w:abstractNum>
  <w:abstractNum w:abstractNumId="15">
    <w:nsid w:val="2EF11741"/>
    <w:multiLevelType w:val="hybridMultilevel"/>
    <w:tmpl w:val="E0FEEE88"/>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6">
    <w:nsid w:val="38C50E81"/>
    <w:multiLevelType w:val="hybridMultilevel"/>
    <w:tmpl w:val="ED1CFAF8"/>
    <w:lvl w:ilvl="0" w:tplc="0409000F">
      <w:start w:val="1"/>
      <w:numFmt w:val="decimal"/>
      <w:lvlText w:val="%1."/>
      <w:lvlJc w:val="left"/>
      <w:pPr>
        <w:ind w:left="450" w:hanging="360"/>
      </w:p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7">
    <w:nsid w:val="3B852535"/>
    <w:multiLevelType w:val="multilevel"/>
    <w:tmpl w:val="5A9A59C6"/>
    <w:lvl w:ilvl="0">
      <w:start w:val="1"/>
      <w:numFmt w:val="bullet"/>
      <w:lvlText w:val=""/>
      <w:lvlJc w:val="left"/>
      <w:pPr>
        <w:ind w:left="360" w:hanging="360"/>
      </w:pPr>
      <w:rPr>
        <w:rFonts w:ascii="Wingdings" w:hAnsi="Wingdings" w:hint="default"/>
        <w:b w:val="0"/>
      </w:rPr>
    </w:lvl>
    <w:lvl w:ilvl="1">
      <w:start w:val="1"/>
      <w:numFmt w:val="decimal"/>
      <w:isLgl/>
      <w:lvlText w:val="%1.%2"/>
      <w:lvlJc w:val="left"/>
      <w:pPr>
        <w:ind w:left="780" w:hanging="780"/>
      </w:pPr>
      <w:rPr>
        <w:rFonts w:hint="default"/>
      </w:rPr>
    </w:lvl>
    <w:lvl w:ilvl="2">
      <w:start w:val="3"/>
      <w:numFmt w:val="decimal"/>
      <w:isLgl/>
      <w:lvlText w:val="%1.%2.%3"/>
      <w:lvlJc w:val="left"/>
      <w:pPr>
        <w:ind w:left="780" w:hanging="780"/>
      </w:pPr>
      <w:rPr>
        <w:rFonts w:hint="default"/>
      </w:rPr>
    </w:lvl>
    <w:lvl w:ilvl="3">
      <w:start w:val="3"/>
      <w:numFmt w:val="decimal"/>
      <w:isLgl/>
      <w:lvlText w:val="%1.%2.%3.%4"/>
      <w:lvlJc w:val="left"/>
      <w:pPr>
        <w:ind w:left="780" w:hanging="7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8">
    <w:nsid w:val="3C0B4304"/>
    <w:multiLevelType w:val="multilevel"/>
    <w:tmpl w:val="525AB4B0"/>
    <w:lvl w:ilvl="0">
      <w:start w:val="1"/>
      <w:numFmt w:val="decimal"/>
      <w:lvlText w:val="%1."/>
      <w:lvlJc w:val="left"/>
      <w:pPr>
        <w:ind w:left="360" w:hanging="360"/>
      </w:pPr>
    </w:lvl>
    <w:lvl w:ilvl="1">
      <w:start w:val="1"/>
      <w:numFmt w:val="decimal"/>
      <w:isLgl/>
      <w:lvlText w:val="%1.%2"/>
      <w:lvlJc w:val="left"/>
      <w:pPr>
        <w:ind w:left="780" w:hanging="780"/>
      </w:pPr>
      <w:rPr>
        <w:rFonts w:hint="default"/>
      </w:rPr>
    </w:lvl>
    <w:lvl w:ilvl="2">
      <w:start w:val="3"/>
      <w:numFmt w:val="decimal"/>
      <w:isLgl/>
      <w:lvlText w:val="%1.%2.%3"/>
      <w:lvlJc w:val="left"/>
      <w:pPr>
        <w:ind w:left="780" w:hanging="780"/>
      </w:pPr>
      <w:rPr>
        <w:rFonts w:hint="default"/>
      </w:rPr>
    </w:lvl>
    <w:lvl w:ilvl="3">
      <w:start w:val="3"/>
      <w:numFmt w:val="decimal"/>
      <w:isLgl/>
      <w:lvlText w:val="%1.%2.%3.%4"/>
      <w:lvlJc w:val="left"/>
      <w:pPr>
        <w:ind w:left="780" w:hanging="7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9">
    <w:nsid w:val="3F4B6B69"/>
    <w:multiLevelType w:val="hybridMultilevel"/>
    <w:tmpl w:val="475CF428"/>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0">
    <w:nsid w:val="44541E7A"/>
    <w:multiLevelType w:val="hybridMultilevel"/>
    <w:tmpl w:val="68C02E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BC661D"/>
    <w:multiLevelType w:val="hybridMultilevel"/>
    <w:tmpl w:val="78D6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0062972"/>
    <w:multiLevelType w:val="multilevel"/>
    <w:tmpl w:val="D7DEFAA0"/>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516E3588"/>
    <w:multiLevelType w:val="hybridMultilevel"/>
    <w:tmpl w:val="C53C4B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5D052D2"/>
    <w:multiLevelType w:val="multilevel"/>
    <w:tmpl w:val="5A9A59C6"/>
    <w:lvl w:ilvl="0">
      <w:start w:val="1"/>
      <w:numFmt w:val="bullet"/>
      <w:lvlText w:val=""/>
      <w:lvlJc w:val="left"/>
      <w:pPr>
        <w:ind w:left="360" w:hanging="360"/>
      </w:pPr>
      <w:rPr>
        <w:rFonts w:ascii="Wingdings" w:hAnsi="Wingdings" w:hint="default"/>
        <w:b w:val="0"/>
      </w:rPr>
    </w:lvl>
    <w:lvl w:ilvl="1">
      <w:start w:val="1"/>
      <w:numFmt w:val="decimal"/>
      <w:isLgl/>
      <w:lvlText w:val="%1.%2"/>
      <w:lvlJc w:val="left"/>
      <w:pPr>
        <w:ind w:left="780" w:hanging="780"/>
      </w:pPr>
      <w:rPr>
        <w:rFonts w:hint="default"/>
      </w:rPr>
    </w:lvl>
    <w:lvl w:ilvl="2">
      <w:start w:val="3"/>
      <w:numFmt w:val="decimal"/>
      <w:isLgl/>
      <w:lvlText w:val="%1.%2.%3"/>
      <w:lvlJc w:val="left"/>
      <w:pPr>
        <w:ind w:left="780" w:hanging="780"/>
      </w:pPr>
      <w:rPr>
        <w:rFonts w:hint="default"/>
      </w:rPr>
    </w:lvl>
    <w:lvl w:ilvl="3">
      <w:start w:val="3"/>
      <w:numFmt w:val="decimal"/>
      <w:isLgl/>
      <w:lvlText w:val="%1.%2.%3.%4"/>
      <w:lvlJc w:val="left"/>
      <w:pPr>
        <w:ind w:left="780" w:hanging="7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5">
    <w:nsid w:val="59555FF0"/>
    <w:multiLevelType w:val="hybridMultilevel"/>
    <w:tmpl w:val="A1142C7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F8224A"/>
    <w:multiLevelType w:val="multilevel"/>
    <w:tmpl w:val="5A9A59C6"/>
    <w:lvl w:ilvl="0">
      <w:start w:val="1"/>
      <w:numFmt w:val="bullet"/>
      <w:lvlText w:val=""/>
      <w:lvlJc w:val="left"/>
      <w:pPr>
        <w:ind w:left="360" w:hanging="360"/>
      </w:pPr>
      <w:rPr>
        <w:rFonts w:ascii="Wingdings" w:hAnsi="Wingdings" w:hint="default"/>
        <w:b w:val="0"/>
      </w:rPr>
    </w:lvl>
    <w:lvl w:ilvl="1">
      <w:start w:val="1"/>
      <w:numFmt w:val="decimal"/>
      <w:isLgl/>
      <w:lvlText w:val="%1.%2"/>
      <w:lvlJc w:val="left"/>
      <w:pPr>
        <w:ind w:left="780" w:hanging="780"/>
      </w:pPr>
      <w:rPr>
        <w:rFonts w:hint="default"/>
      </w:rPr>
    </w:lvl>
    <w:lvl w:ilvl="2">
      <w:start w:val="3"/>
      <w:numFmt w:val="decimal"/>
      <w:isLgl/>
      <w:lvlText w:val="%1.%2.%3"/>
      <w:lvlJc w:val="left"/>
      <w:pPr>
        <w:ind w:left="780" w:hanging="780"/>
      </w:pPr>
      <w:rPr>
        <w:rFonts w:hint="default"/>
      </w:rPr>
    </w:lvl>
    <w:lvl w:ilvl="3">
      <w:start w:val="3"/>
      <w:numFmt w:val="decimal"/>
      <w:isLgl/>
      <w:lvlText w:val="%1.%2.%3.%4"/>
      <w:lvlJc w:val="left"/>
      <w:pPr>
        <w:ind w:left="780" w:hanging="7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7">
    <w:nsid w:val="638B17B8"/>
    <w:multiLevelType w:val="multilevel"/>
    <w:tmpl w:val="97D0A536"/>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68A66494"/>
    <w:multiLevelType w:val="hybridMultilevel"/>
    <w:tmpl w:val="BC00F3E6"/>
    <w:lvl w:ilvl="0" w:tplc="0409000B">
      <w:start w:val="1"/>
      <w:numFmt w:val="bullet"/>
      <w:lvlText w:val=""/>
      <w:lvlJc w:val="left"/>
      <w:pPr>
        <w:ind w:left="360" w:hanging="360"/>
      </w:pPr>
      <w:rPr>
        <w:rFonts w:ascii="Wingdings" w:hAnsi="Wingding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709432D1"/>
    <w:multiLevelType w:val="hybridMultilevel"/>
    <w:tmpl w:val="78A24C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29632D9"/>
    <w:multiLevelType w:val="hybridMultilevel"/>
    <w:tmpl w:val="994ECD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45F3C80"/>
    <w:multiLevelType w:val="hybridMultilevel"/>
    <w:tmpl w:val="87ECD4D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68B7877"/>
    <w:multiLevelType w:val="hybridMultilevel"/>
    <w:tmpl w:val="BBC88D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CF50E6C"/>
    <w:multiLevelType w:val="hybridMultilevel"/>
    <w:tmpl w:val="D5E435D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
  </w:num>
  <w:num w:numId="3">
    <w:abstractNumId w:val="32"/>
  </w:num>
  <w:num w:numId="4">
    <w:abstractNumId w:val="10"/>
  </w:num>
  <w:num w:numId="5">
    <w:abstractNumId w:val="22"/>
  </w:num>
  <w:num w:numId="6">
    <w:abstractNumId w:val="23"/>
  </w:num>
  <w:num w:numId="7">
    <w:abstractNumId w:val="11"/>
  </w:num>
  <w:num w:numId="8">
    <w:abstractNumId w:val="30"/>
  </w:num>
  <w:num w:numId="9">
    <w:abstractNumId w:val="27"/>
  </w:num>
  <w:num w:numId="10">
    <w:abstractNumId w:val="15"/>
  </w:num>
  <w:num w:numId="11">
    <w:abstractNumId w:val="3"/>
  </w:num>
  <w:num w:numId="12">
    <w:abstractNumId w:val="19"/>
  </w:num>
  <w:num w:numId="13">
    <w:abstractNumId w:val="28"/>
  </w:num>
  <w:num w:numId="14">
    <w:abstractNumId w:val="13"/>
  </w:num>
  <w:num w:numId="15">
    <w:abstractNumId w:val="12"/>
  </w:num>
  <w:num w:numId="16">
    <w:abstractNumId w:val="26"/>
  </w:num>
  <w:num w:numId="17">
    <w:abstractNumId w:val="6"/>
  </w:num>
  <w:num w:numId="18">
    <w:abstractNumId w:val="14"/>
  </w:num>
  <w:num w:numId="19">
    <w:abstractNumId w:val="9"/>
  </w:num>
  <w:num w:numId="20">
    <w:abstractNumId w:val="29"/>
  </w:num>
  <w:num w:numId="21">
    <w:abstractNumId w:val="8"/>
  </w:num>
  <w:num w:numId="22">
    <w:abstractNumId w:val="24"/>
  </w:num>
  <w:num w:numId="23">
    <w:abstractNumId w:val="17"/>
  </w:num>
  <w:num w:numId="24">
    <w:abstractNumId w:val="7"/>
  </w:num>
  <w:num w:numId="25">
    <w:abstractNumId w:val="33"/>
  </w:num>
  <w:num w:numId="26">
    <w:abstractNumId w:val="25"/>
  </w:num>
  <w:num w:numId="27">
    <w:abstractNumId w:val="0"/>
  </w:num>
  <w:num w:numId="28">
    <w:abstractNumId w:val="21"/>
  </w:num>
  <w:num w:numId="29">
    <w:abstractNumId w:val="16"/>
  </w:num>
  <w:num w:numId="30">
    <w:abstractNumId w:val="4"/>
  </w:num>
  <w:num w:numId="31">
    <w:abstractNumId w:val="20"/>
  </w:num>
  <w:num w:numId="32">
    <w:abstractNumId w:val="5"/>
  </w:num>
  <w:num w:numId="33">
    <w:abstractNumId w:val="2"/>
  </w:num>
  <w:num w:numId="34">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7A6BD6"/>
    <w:rsid w:val="000007AE"/>
    <w:rsid w:val="00000D8F"/>
    <w:rsid w:val="00002D4E"/>
    <w:rsid w:val="00003DC0"/>
    <w:rsid w:val="00011574"/>
    <w:rsid w:val="00012A14"/>
    <w:rsid w:val="00022DC1"/>
    <w:rsid w:val="00024326"/>
    <w:rsid w:val="00026316"/>
    <w:rsid w:val="00032D8C"/>
    <w:rsid w:val="0003560F"/>
    <w:rsid w:val="00036239"/>
    <w:rsid w:val="00037640"/>
    <w:rsid w:val="0004522D"/>
    <w:rsid w:val="000508F9"/>
    <w:rsid w:val="00052F88"/>
    <w:rsid w:val="00067A73"/>
    <w:rsid w:val="00076478"/>
    <w:rsid w:val="00077C46"/>
    <w:rsid w:val="00085C5A"/>
    <w:rsid w:val="0009384A"/>
    <w:rsid w:val="000948BA"/>
    <w:rsid w:val="000A3693"/>
    <w:rsid w:val="000B0521"/>
    <w:rsid w:val="000B452E"/>
    <w:rsid w:val="000B7A8A"/>
    <w:rsid w:val="000C1D63"/>
    <w:rsid w:val="000D508E"/>
    <w:rsid w:val="000D5BE2"/>
    <w:rsid w:val="000D6EFF"/>
    <w:rsid w:val="000D7777"/>
    <w:rsid w:val="000F1FAD"/>
    <w:rsid w:val="000F3B63"/>
    <w:rsid w:val="000F4B61"/>
    <w:rsid w:val="00104526"/>
    <w:rsid w:val="00111769"/>
    <w:rsid w:val="00114D66"/>
    <w:rsid w:val="00133555"/>
    <w:rsid w:val="0014232A"/>
    <w:rsid w:val="0014488E"/>
    <w:rsid w:val="00152068"/>
    <w:rsid w:val="001555D4"/>
    <w:rsid w:val="00157161"/>
    <w:rsid w:val="001717BA"/>
    <w:rsid w:val="00183F6A"/>
    <w:rsid w:val="001866AE"/>
    <w:rsid w:val="001962E9"/>
    <w:rsid w:val="001977C3"/>
    <w:rsid w:val="001B296D"/>
    <w:rsid w:val="001B4B4E"/>
    <w:rsid w:val="001B6036"/>
    <w:rsid w:val="001B7E9B"/>
    <w:rsid w:val="001D2379"/>
    <w:rsid w:val="001D2BAA"/>
    <w:rsid w:val="001D35C8"/>
    <w:rsid w:val="001D4DAD"/>
    <w:rsid w:val="001E2464"/>
    <w:rsid w:val="001F38D3"/>
    <w:rsid w:val="001F4C19"/>
    <w:rsid w:val="001F59A8"/>
    <w:rsid w:val="0020010B"/>
    <w:rsid w:val="002004C6"/>
    <w:rsid w:val="00214C1D"/>
    <w:rsid w:val="0023606D"/>
    <w:rsid w:val="002365E0"/>
    <w:rsid w:val="00236C38"/>
    <w:rsid w:val="00242AAE"/>
    <w:rsid w:val="00250838"/>
    <w:rsid w:val="00257CC2"/>
    <w:rsid w:val="002647D8"/>
    <w:rsid w:val="00266C45"/>
    <w:rsid w:val="00267BC6"/>
    <w:rsid w:val="00275890"/>
    <w:rsid w:val="002777AF"/>
    <w:rsid w:val="00290FF6"/>
    <w:rsid w:val="0029488D"/>
    <w:rsid w:val="00296888"/>
    <w:rsid w:val="002A03BE"/>
    <w:rsid w:val="002A1CC4"/>
    <w:rsid w:val="002B3303"/>
    <w:rsid w:val="002B555B"/>
    <w:rsid w:val="002B658F"/>
    <w:rsid w:val="002C2C0F"/>
    <w:rsid w:val="002D4080"/>
    <w:rsid w:val="002D5202"/>
    <w:rsid w:val="003012A9"/>
    <w:rsid w:val="00301E15"/>
    <w:rsid w:val="00321D22"/>
    <w:rsid w:val="003233CF"/>
    <w:rsid w:val="003234BA"/>
    <w:rsid w:val="00325FBA"/>
    <w:rsid w:val="00330222"/>
    <w:rsid w:val="0033272B"/>
    <w:rsid w:val="0034065E"/>
    <w:rsid w:val="00343C8D"/>
    <w:rsid w:val="00363E47"/>
    <w:rsid w:val="00364562"/>
    <w:rsid w:val="00364E57"/>
    <w:rsid w:val="003656BE"/>
    <w:rsid w:val="00371788"/>
    <w:rsid w:val="003914F0"/>
    <w:rsid w:val="003A2752"/>
    <w:rsid w:val="003A5B4D"/>
    <w:rsid w:val="003B566C"/>
    <w:rsid w:val="003B663E"/>
    <w:rsid w:val="003C35F4"/>
    <w:rsid w:val="003C37EA"/>
    <w:rsid w:val="003C54C9"/>
    <w:rsid w:val="003E0FDF"/>
    <w:rsid w:val="003E35D6"/>
    <w:rsid w:val="00400DEE"/>
    <w:rsid w:val="004020A0"/>
    <w:rsid w:val="00407B29"/>
    <w:rsid w:val="0041378B"/>
    <w:rsid w:val="0043438F"/>
    <w:rsid w:val="0044333B"/>
    <w:rsid w:val="00452A58"/>
    <w:rsid w:val="00456160"/>
    <w:rsid w:val="00457C85"/>
    <w:rsid w:val="00464314"/>
    <w:rsid w:val="00466B49"/>
    <w:rsid w:val="004761E6"/>
    <w:rsid w:val="00483F60"/>
    <w:rsid w:val="004864B0"/>
    <w:rsid w:val="00492DE1"/>
    <w:rsid w:val="004972E8"/>
    <w:rsid w:val="004A1D65"/>
    <w:rsid w:val="004A3057"/>
    <w:rsid w:val="004A4B5C"/>
    <w:rsid w:val="004C1480"/>
    <w:rsid w:val="004C617B"/>
    <w:rsid w:val="004C6697"/>
    <w:rsid w:val="004C6BB5"/>
    <w:rsid w:val="004C7322"/>
    <w:rsid w:val="004D3C26"/>
    <w:rsid w:val="004D4CD8"/>
    <w:rsid w:val="004E17BC"/>
    <w:rsid w:val="004E4202"/>
    <w:rsid w:val="004E437C"/>
    <w:rsid w:val="004E510B"/>
    <w:rsid w:val="004E7F93"/>
    <w:rsid w:val="004F0431"/>
    <w:rsid w:val="00502E60"/>
    <w:rsid w:val="00505FCC"/>
    <w:rsid w:val="00517FA4"/>
    <w:rsid w:val="00521D8E"/>
    <w:rsid w:val="0053443E"/>
    <w:rsid w:val="0053669A"/>
    <w:rsid w:val="005458CA"/>
    <w:rsid w:val="0055112E"/>
    <w:rsid w:val="00560F34"/>
    <w:rsid w:val="00577A40"/>
    <w:rsid w:val="00577C97"/>
    <w:rsid w:val="00582E50"/>
    <w:rsid w:val="0059038E"/>
    <w:rsid w:val="005930F7"/>
    <w:rsid w:val="005A3429"/>
    <w:rsid w:val="005A7D8F"/>
    <w:rsid w:val="005C533B"/>
    <w:rsid w:val="005D56D5"/>
    <w:rsid w:val="005E32AA"/>
    <w:rsid w:val="005F116B"/>
    <w:rsid w:val="0060001F"/>
    <w:rsid w:val="00603F88"/>
    <w:rsid w:val="006154EE"/>
    <w:rsid w:val="00622B95"/>
    <w:rsid w:val="00625E50"/>
    <w:rsid w:val="00631146"/>
    <w:rsid w:val="006312B9"/>
    <w:rsid w:val="00632DDE"/>
    <w:rsid w:val="006366D8"/>
    <w:rsid w:val="0063799C"/>
    <w:rsid w:val="006400DB"/>
    <w:rsid w:val="0064162F"/>
    <w:rsid w:val="00650334"/>
    <w:rsid w:val="00656301"/>
    <w:rsid w:val="006603AE"/>
    <w:rsid w:val="00661399"/>
    <w:rsid w:val="00672A4A"/>
    <w:rsid w:val="00677836"/>
    <w:rsid w:val="00686068"/>
    <w:rsid w:val="006863EB"/>
    <w:rsid w:val="00691498"/>
    <w:rsid w:val="006B3863"/>
    <w:rsid w:val="006B715D"/>
    <w:rsid w:val="006D0E94"/>
    <w:rsid w:val="006D584B"/>
    <w:rsid w:val="006E07FC"/>
    <w:rsid w:val="006E352E"/>
    <w:rsid w:val="006F5A79"/>
    <w:rsid w:val="006F7D3F"/>
    <w:rsid w:val="00705B89"/>
    <w:rsid w:val="00706B61"/>
    <w:rsid w:val="00707565"/>
    <w:rsid w:val="00707FA9"/>
    <w:rsid w:val="0071544E"/>
    <w:rsid w:val="007254A7"/>
    <w:rsid w:val="00730F2B"/>
    <w:rsid w:val="00744AE1"/>
    <w:rsid w:val="00760ECB"/>
    <w:rsid w:val="00767BDF"/>
    <w:rsid w:val="007714C7"/>
    <w:rsid w:val="00784BBD"/>
    <w:rsid w:val="00790356"/>
    <w:rsid w:val="00794AB7"/>
    <w:rsid w:val="00795461"/>
    <w:rsid w:val="007956E3"/>
    <w:rsid w:val="007A5296"/>
    <w:rsid w:val="007A6BD6"/>
    <w:rsid w:val="007A6ED1"/>
    <w:rsid w:val="007B0B9A"/>
    <w:rsid w:val="007C46BD"/>
    <w:rsid w:val="007C658C"/>
    <w:rsid w:val="007D2984"/>
    <w:rsid w:val="007D5764"/>
    <w:rsid w:val="007E10C9"/>
    <w:rsid w:val="007E4C01"/>
    <w:rsid w:val="007F538D"/>
    <w:rsid w:val="0081648B"/>
    <w:rsid w:val="00823044"/>
    <w:rsid w:val="008250BB"/>
    <w:rsid w:val="00830457"/>
    <w:rsid w:val="00833A38"/>
    <w:rsid w:val="00835DD3"/>
    <w:rsid w:val="00836C20"/>
    <w:rsid w:val="00840077"/>
    <w:rsid w:val="00856872"/>
    <w:rsid w:val="00862B80"/>
    <w:rsid w:val="00862EF7"/>
    <w:rsid w:val="0087189B"/>
    <w:rsid w:val="008937C8"/>
    <w:rsid w:val="008A2257"/>
    <w:rsid w:val="008B395E"/>
    <w:rsid w:val="008C0E1D"/>
    <w:rsid w:val="008C1747"/>
    <w:rsid w:val="008C5546"/>
    <w:rsid w:val="008E13FA"/>
    <w:rsid w:val="008F04D3"/>
    <w:rsid w:val="008F7DE9"/>
    <w:rsid w:val="0090249C"/>
    <w:rsid w:val="00907EA1"/>
    <w:rsid w:val="00910D6B"/>
    <w:rsid w:val="009113C4"/>
    <w:rsid w:val="00915DA3"/>
    <w:rsid w:val="00917F0E"/>
    <w:rsid w:val="00927238"/>
    <w:rsid w:val="009275AC"/>
    <w:rsid w:val="00944CE2"/>
    <w:rsid w:val="0094782D"/>
    <w:rsid w:val="0095036B"/>
    <w:rsid w:val="009549B2"/>
    <w:rsid w:val="00963238"/>
    <w:rsid w:val="00984518"/>
    <w:rsid w:val="0098629C"/>
    <w:rsid w:val="009957EA"/>
    <w:rsid w:val="00996CE5"/>
    <w:rsid w:val="009A308E"/>
    <w:rsid w:val="009A5562"/>
    <w:rsid w:val="009C0EB6"/>
    <w:rsid w:val="009C3F2E"/>
    <w:rsid w:val="009C70B0"/>
    <w:rsid w:val="009F4350"/>
    <w:rsid w:val="009F47EC"/>
    <w:rsid w:val="00A02086"/>
    <w:rsid w:val="00A075BC"/>
    <w:rsid w:val="00A07BF5"/>
    <w:rsid w:val="00A11DD0"/>
    <w:rsid w:val="00A14C37"/>
    <w:rsid w:val="00A3096E"/>
    <w:rsid w:val="00A34221"/>
    <w:rsid w:val="00A360E0"/>
    <w:rsid w:val="00A52258"/>
    <w:rsid w:val="00A55B8A"/>
    <w:rsid w:val="00A57B07"/>
    <w:rsid w:val="00A6017A"/>
    <w:rsid w:val="00A71035"/>
    <w:rsid w:val="00A741AE"/>
    <w:rsid w:val="00A766D5"/>
    <w:rsid w:val="00A77BA6"/>
    <w:rsid w:val="00A931A9"/>
    <w:rsid w:val="00AA5E9A"/>
    <w:rsid w:val="00AA5F10"/>
    <w:rsid w:val="00AA7FA2"/>
    <w:rsid w:val="00AB51C1"/>
    <w:rsid w:val="00AB61B7"/>
    <w:rsid w:val="00AC4BA7"/>
    <w:rsid w:val="00AC58F8"/>
    <w:rsid w:val="00AD618E"/>
    <w:rsid w:val="00AD69FA"/>
    <w:rsid w:val="00AD71CB"/>
    <w:rsid w:val="00AE0617"/>
    <w:rsid w:val="00B0423D"/>
    <w:rsid w:val="00B122FE"/>
    <w:rsid w:val="00B123B3"/>
    <w:rsid w:val="00B16A0A"/>
    <w:rsid w:val="00B2379E"/>
    <w:rsid w:val="00B26F70"/>
    <w:rsid w:val="00B45CBC"/>
    <w:rsid w:val="00B538F8"/>
    <w:rsid w:val="00B60780"/>
    <w:rsid w:val="00B61726"/>
    <w:rsid w:val="00B6378A"/>
    <w:rsid w:val="00B66632"/>
    <w:rsid w:val="00B84C38"/>
    <w:rsid w:val="00B93598"/>
    <w:rsid w:val="00BA3641"/>
    <w:rsid w:val="00BB1B29"/>
    <w:rsid w:val="00BB45A8"/>
    <w:rsid w:val="00BB6ADE"/>
    <w:rsid w:val="00BC18D1"/>
    <w:rsid w:val="00BC1D45"/>
    <w:rsid w:val="00BD059D"/>
    <w:rsid w:val="00BD16E0"/>
    <w:rsid w:val="00BD1E8F"/>
    <w:rsid w:val="00BD384D"/>
    <w:rsid w:val="00BD3F9C"/>
    <w:rsid w:val="00BF4CE7"/>
    <w:rsid w:val="00BF7F71"/>
    <w:rsid w:val="00C01DBC"/>
    <w:rsid w:val="00C071E9"/>
    <w:rsid w:val="00C115FC"/>
    <w:rsid w:val="00C12216"/>
    <w:rsid w:val="00C23199"/>
    <w:rsid w:val="00C237FC"/>
    <w:rsid w:val="00C27D66"/>
    <w:rsid w:val="00C379EE"/>
    <w:rsid w:val="00C410EC"/>
    <w:rsid w:val="00C41E72"/>
    <w:rsid w:val="00C47458"/>
    <w:rsid w:val="00C4771F"/>
    <w:rsid w:val="00C524BD"/>
    <w:rsid w:val="00C543EB"/>
    <w:rsid w:val="00C604DD"/>
    <w:rsid w:val="00C6103C"/>
    <w:rsid w:val="00C65B82"/>
    <w:rsid w:val="00C91CAA"/>
    <w:rsid w:val="00C937F2"/>
    <w:rsid w:val="00C97079"/>
    <w:rsid w:val="00C97708"/>
    <w:rsid w:val="00CA22DA"/>
    <w:rsid w:val="00CA49B4"/>
    <w:rsid w:val="00CA5D9F"/>
    <w:rsid w:val="00CA6C2E"/>
    <w:rsid w:val="00CB3970"/>
    <w:rsid w:val="00CC7BE9"/>
    <w:rsid w:val="00CD3E89"/>
    <w:rsid w:val="00CD5E81"/>
    <w:rsid w:val="00CE0144"/>
    <w:rsid w:val="00D03402"/>
    <w:rsid w:val="00D053D8"/>
    <w:rsid w:val="00D11335"/>
    <w:rsid w:val="00D158D1"/>
    <w:rsid w:val="00D20DD3"/>
    <w:rsid w:val="00D3363F"/>
    <w:rsid w:val="00D336D7"/>
    <w:rsid w:val="00D34449"/>
    <w:rsid w:val="00D45B61"/>
    <w:rsid w:val="00D462BC"/>
    <w:rsid w:val="00D539CB"/>
    <w:rsid w:val="00D6075C"/>
    <w:rsid w:val="00D60F7A"/>
    <w:rsid w:val="00D61A65"/>
    <w:rsid w:val="00D65FB2"/>
    <w:rsid w:val="00D6653D"/>
    <w:rsid w:val="00D70B6A"/>
    <w:rsid w:val="00D7531F"/>
    <w:rsid w:val="00D91846"/>
    <w:rsid w:val="00D9729E"/>
    <w:rsid w:val="00DA4DD8"/>
    <w:rsid w:val="00DA72D0"/>
    <w:rsid w:val="00DB475F"/>
    <w:rsid w:val="00DC50B0"/>
    <w:rsid w:val="00DD78AF"/>
    <w:rsid w:val="00DF1569"/>
    <w:rsid w:val="00DF208D"/>
    <w:rsid w:val="00DF5698"/>
    <w:rsid w:val="00DF5E8C"/>
    <w:rsid w:val="00DF7A2E"/>
    <w:rsid w:val="00E14981"/>
    <w:rsid w:val="00E2136F"/>
    <w:rsid w:val="00E27076"/>
    <w:rsid w:val="00E3105C"/>
    <w:rsid w:val="00E34B2B"/>
    <w:rsid w:val="00E34D35"/>
    <w:rsid w:val="00E4001B"/>
    <w:rsid w:val="00E4085D"/>
    <w:rsid w:val="00E44D48"/>
    <w:rsid w:val="00E4612E"/>
    <w:rsid w:val="00E56774"/>
    <w:rsid w:val="00E76879"/>
    <w:rsid w:val="00E8073F"/>
    <w:rsid w:val="00E8074F"/>
    <w:rsid w:val="00E81FE1"/>
    <w:rsid w:val="00E83041"/>
    <w:rsid w:val="00E8573E"/>
    <w:rsid w:val="00E87C38"/>
    <w:rsid w:val="00EA7458"/>
    <w:rsid w:val="00ED3AF0"/>
    <w:rsid w:val="00ED5CA1"/>
    <w:rsid w:val="00ED5DA2"/>
    <w:rsid w:val="00ED6581"/>
    <w:rsid w:val="00EE0D4E"/>
    <w:rsid w:val="00EE70E6"/>
    <w:rsid w:val="00EF066C"/>
    <w:rsid w:val="00EF2A3F"/>
    <w:rsid w:val="00EF2B15"/>
    <w:rsid w:val="00EF2EC8"/>
    <w:rsid w:val="00F134B2"/>
    <w:rsid w:val="00F21BC5"/>
    <w:rsid w:val="00F44EE7"/>
    <w:rsid w:val="00F46FE6"/>
    <w:rsid w:val="00F578A3"/>
    <w:rsid w:val="00F655E8"/>
    <w:rsid w:val="00F726BE"/>
    <w:rsid w:val="00F73D56"/>
    <w:rsid w:val="00F77316"/>
    <w:rsid w:val="00F81E51"/>
    <w:rsid w:val="00F87009"/>
    <w:rsid w:val="00F92F47"/>
    <w:rsid w:val="00FA0979"/>
    <w:rsid w:val="00FA692F"/>
    <w:rsid w:val="00FC2FCE"/>
    <w:rsid w:val="00FC4D5E"/>
    <w:rsid w:val="00FD11D3"/>
    <w:rsid w:val="00FD1AA2"/>
    <w:rsid w:val="00FD5D64"/>
    <w:rsid w:val="00FE3358"/>
    <w:rsid w:val="00FE401F"/>
    <w:rsid w:val="00FE52F2"/>
    <w:rsid w:val="00FF488B"/>
    <w:rsid w:val="00FF4E2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8194">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1AA2"/>
    <w:pPr>
      <w:spacing w:after="0" w:line="240" w:lineRule="auto"/>
    </w:pPr>
    <w:rPr>
      <w:sz w:val="24"/>
      <w:szCs w:val="24"/>
    </w:rPr>
  </w:style>
  <w:style w:type="paragraph" w:styleId="Heading1">
    <w:name w:val="heading 1"/>
    <w:basedOn w:val="Normal"/>
    <w:next w:val="Normal"/>
    <w:link w:val="Heading1Char"/>
    <w:uiPriority w:val="9"/>
    <w:qFormat/>
    <w:rsid w:val="00FD1AA2"/>
    <w:pPr>
      <w:keepNext/>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semiHidden/>
    <w:unhideWhenUsed/>
    <w:qFormat/>
    <w:rsid w:val="00FD1AA2"/>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rsid w:val="00FD1AA2"/>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FD1AA2"/>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FD1AA2"/>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FD1AA2"/>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FD1AA2"/>
    <w:pPr>
      <w:spacing w:before="240" w:after="60"/>
      <w:outlineLvl w:val="6"/>
    </w:pPr>
  </w:style>
  <w:style w:type="paragraph" w:styleId="Heading8">
    <w:name w:val="heading 8"/>
    <w:basedOn w:val="Normal"/>
    <w:next w:val="Normal"/>
    <w:link w:val="Heading8Char"/>
    <w:uiPriority w:val="9"/>
    <w:semiHidden/>
    <w:unhideWhenUsed/>
    <w:qFormat/>
    <w:rsid w:val="00FD1AA2"/>
    <w:pPr>
      <w:spacing w:before="240" w:after="60"/>
      <w:outlineLvl w:val="7"/>
    </w:pPr>
    <w:rPr>
      <w:i/>
      <w:iCs/>
    </w:rPr>
  </w:style>
  <w:style w:type="paragraph" w:styleId="Heading9">
    <w:name w:val="heading 9"/>
    <w:basedOn w:val="Normal"/>
    <w:next w:val="Normal"/>
    <w:link w:val="Heading9Char"/>
    <w:uiPriority w:val="9"/>
    <w:semiHidden/>
    <w:unhideWhenUsed/>
    <w:qFormat/>
    <w:rsid w:val="00FD1AA2"/>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D1AA2"/>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FD1AA2"/>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FD1AA2"/>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rsid w:val="00FD1AA2"/>
    <w:rPr>
      <w:b/>
      <w:bCs/>
      <w:sz w:val="28"/>
      <w:szCs w:val="28"/>
    </w:rPr>
  </w:style>
  <w:style w:type="character" w:customStyle="1" w:styleId="Heading5Char">
    <w:name w:val="Heading 5 Char"/>
    <w:basedOn w:val="DefaultParagraphFont"/>
    <w:link w:val="Heading5"/>
    <w:uiPriority w:val="9"/>
    <w:semiHidden/>
    <w:rsid w:val="00FD1AA2"/>
    <w:rPr>
      <w:b/>
      <w:bCs/>
      <w:i/>
      <w:iCs/>
      <w:sz w:val="26"/>
      <w:szCs w:val="26"/>
    </w:rPr>
  </w:style>
  <w:style w:type="character" w:customStyle="1" w:styleId="Heading6Char">
    <w:name w:val="Heading 6 Char"/>
    <w:basedOn w:val="DefaultParagraphFont"/>
    <w:link w:val="Heading6"/>
    <w:uiPriority w:val="9"/>
    <w:semiHidden/>
    <w:rsid w:val="00FD1AA2"/>
    <w:rPr>
      <w:b/>
      <w:bCs/>
    </w:rPr>
  </w:style>
  <w:style w:type="character" w:customStyle="1" w:styleId="Heading7Char">
    <w:name w:val="Heading 7 Char"/>
    <w:basedOn w:val="DefaultParagraphFont"/>
    <w:link w:val="Heading7"/>
    <w:uiPriority w:val="9"/>
    <w:semiHidden/>
    <w:rsid w:val="00FD1AA2"/>
    <w:rPr>
      <w:sz w:val="24"/>
      <w:szCs w:val="24"/>
    </w:rPr>
  </w:style>
  <w:style w:type="character" w:customStyle="1" w:styleId="Heading8Char">
    <w:name w:val="Heading 8 Char"/>
    <w:basedOn w:val="DefaultParagraphFont"/>
    <w:link w:val="Heading8"/>
    <w:uiPriority w:val="9"/>
    <w:semiHidden/>
    <w:rsid w:val="00FD1AA2"/>
    <w:rPr>
      <w:i/>
      <w:iCs/>
      <w:sz w:val="24"/>
      <w:szCs w:val="24"/>
    </w:rPr>
  </w:style>
  <w:style w:type="character" w:customStyle="1" w:styleId="Heading9Char">
    <w:name w:val="Heading 9 Char"/>
    <w:basedOn w:val="DefaultParagraphFont"/>
    <w:link w:val="Heading9"/>
    <w:uiPriority w:val="9"/>
    <w:semiHidden/>
    <w:rsid w:val="00FD1AA2"/>
    <w:rPr>
      <w:rFonts w:asciiTheme="majorHAnsi" w:eastAsiaTheme="majorEastAsia" w:hAnsiTheme="majorHAnsi"/>
    </w:rPr>
  </w:style>
  <w:style w:type="paragraph" w:styleId="BodyText">
    <w:name w:val="Body Text"/>
    <w:basedOn w:val="Normal"/>
    <w:link w:val="BodyTextChar"/>
    <w:rsid w:val="007A6BD6"/>
    <w:pPr>
      <w:spacing w:after="120" w:line="360" w:lineRule="auto"/>
      <w:jc w:val="both"/>
    </w:pPr>
    <w:rPr>
      <w:rFonts w:eastAsia="SimSun"/>
      <w:lang w:val="en-CA"/>
    </w:rPr>
  </w:style>
  <w:style w:type="character" w:customStyle="1" w:styleId="BodyTextChar">
    <w:name w:val="Body Text Char"/>
    <w:basedOn w:val="DefaultParagraphFont"/>
    <w:link w:val="BodyText"/>
    <w:rsid w:val="007A6BD6"/>
    <w:rPr>
      <w:rFonts w:ascii="Times New Roman" w:eastAsia="SimSun" w:hAnsi="Times New Roman" w:cs="Times New Roman"/>
      <w:sz w:val="24"/>
      <w:szCs w:val="24"/>
      <w:lang w:val="en-CA" w:eastAsia="ar-SA"/>
    </w:rPr>
  </w:style>
  <w:style w:type="paragraph" w:styleId="ListParagraph">
    <w:name w:val="List Paragraph"/>
    <w:basedOn w:val="Normal"/>
    <w:uiPriority w:val="34"/>
    <w:qFormat/>
    <w:rsid w:val="00FD1AA2"/>
    <w:pPr>
      <w:ind w:left="720"/>
      <w:contextualSpacing/>
    </w:pPr>
  </w:style>
  <w:style w:type="table" w:styleId="TableGrid">
    <w:name w:val="Table Grid"/>
    <w:basedOn w:val="TableNormal"/>
    <w:uiPriority w:val="59"/>
    <w:rsid w:val="00000D8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DF7A2E"/>
    <w:pPr>
      <w:tabs>
        <w:tab w:val="center" w:pos="4680"/>
        <w:tab w:val="right" w:pos="9360"/>
      </w:tabs>
    </w:pPr>
  </w:style>
  <w:style w:type="character" w:customStyle="1" w:styleId="HeaderChar">
    <w:name w:val="Header Char"/>
    <w:basedOn w:val="DefaultParagraphFont"/>
    <w:link w:val="Header"/>
    <w:uiPriority w:val="99"/>
    <w:semiHidden/>
    <w:rsid w:val="00DF7A2E"/>
    <w:rPr>
      <w:rFonts w:ascii="Times New Roman" w:eastAsia="Times New Roman" w:hAnsi="Times New Roman"/>
      <w:sz w:val="24"/>
      <w:szCs w:val="24"/>
      <w:lang w:eastAsia="ar-SA"/>
    </w:rPr>
  </w:style>
  <w:style w:type="paragraph" w:styleId="Footer">
    <w:name w:val="footer"/>
    <w:basedOn w:val="Normal"/>
    <w:link w:val="FooterChar"/>
    <w:uiPriority w:val="99"/>
    <w:unhideWhenUsed/>
    <w:rsid w:val="00DF7A2E"/>
    <w:pPr>
      <w:tabs>
        <w:tab w:val="center" w:pos="4680"/>
        <w:tab w:val="right" w:pos="9360"/>
      </w:tabs>
    </w:pPr>
  </w:style>
  <w:style w:type="character" w:customStyle="1" w:styleId="FooterChar">
    <w:name w:val="Footer Char"/>
    <w:basedOn w:val="DefaultParagraphFont"/>
    <w:link w:val="Footer"/>
    <w:uiPriority w:val="99"/>
    <w:rsid w:val="00DF7A2E"/>
    <w:rPr>
      <w:rFonts w:ascii="Times New Roman" w:eastAsia="Times New Roman" w:hAnsi="Times New Roman"/>
      <w:sz w:val="24"/>
      <w:szCs w:val="24"/>
      <w:lang w:eastAsia="ar-SA"/>
    </w:rPr>
  </w:style>
  <w:style w:type="character" w:customStyle="1" w:styleId="apple-converted-space">
    <w:name w:val="apple-converted-space"/>
    <w:basedOn w:val="DefaultParagraphFont"/>
    <w:rsid w:val="00A07BF5"/>
  </w:style>
  <w:style w:type="character" w:styleId="Hyperlink">
    <w:name w:val="Hyperlink"/>
    <w:basedOn w:val="DefaultParagraphFont"/>
    <w:uiPriority w:val="99"/>
    <w:unhideWhenUsed/>
    <w:rsid w:val="00A07BF5"/>
    <w:rPr>
      <w:color w:val="0000FF"/>
      <w:u w:val="single"/>
    </w:rPr>
  </w:style>
  <w:style w:type="character" w:customStyle="1" w:styleId="BalloonTextChar">
    <w:name w:val="Balloon Text Char"/>
    <w:basedOn w:val="DefaultParagraphFont"/>
    <w:link w:val="BalloonText"/>
    <w:uiPriority w:val="99"/>
    <w:semiHidden/>
    <w:rsid w:val="00DA4DD8"/>
    <w:rPr>
      <w:rFonts w:ascii="Tahoma" w:eastAsia="Times New Roman" w:hAnsi="Tahoma" w:cs="Tahoma"/>
      <w:sz w:val="16"/>
      <w:szCs w:val="16"/>
      <w:lang w:val="en-US" w:eastAsia="ar-SA" w:bidi="ar-SA"/>
    </w:rPr>
  </w:style>
  <w:style w:type="paragraph" w:styleId="BalloonText">
    <w:name w:val="Balloon Text"/>
    <w:basedOn w:val="Normal"/>
    <w:link w:val="BalloonTextChar"/>
    <w:uiPriority w:val="99"/>
    <w:semiHidden/>
    <w:unhideWhenUsed/>
    <w:rsid w:val="00DA4DD8"/>
    <w:rPr>
      <w:rFonts w:ascii="Tahoma" w:hAnsi="Tahoma" w:cs="Tahoma"/>
      <w:sz w:val="16"/>
      <w:szCs w:val="16"/>
    </w:rPr>
  </w:style>
  <w:style w:type="paragraph" w:styleId="ListBullet">
    <w:name w:val="List Bullet"/>
    <w:basedOn w:val="Normal"/>
    <w:uiPriority w:val="99"/>
    <w:unhideWhenUsed/>
    <w:rsid w:val="00DA4DD8"/>
    <w:pPr>
      <w:tabs>
        <w:tab w:val="num" w:pos="360"/>
      </w:tabs>
      <w:ind w:left="360" w:hanging="360"/>
      <w:contextualSpacing/>
    </w:pPr>
    <w:rPr>
      <w:rFonts w:cs="Angsana New"/>
    </w:rPr>
  </w:style>
  <w:style w:type="paragraph" w:styleId="Title">
    <w:name w:val="Title"/>
    <w:basedOn w:val="Normal"/>
    <w:next w:val="Normal"/>
    <w:link w:val="TitleChar"/>
    <w:uiPriority w:val="10"/>
    <w:qFormat/>
    <w:rsid w:val="00FD1AA2"/>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FD1AA2"/>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FD1AA2"/>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FD1AA2"/>
    <w:rPr>
      <w:rFonts w:asciiTheme="majorHAnsi" w:eastAsiaTheme="majorEastAsia" w:hAnsiTheme="majorHAnsi"/>
      <w:sz w:val="24"/>
      <w:szCs w:val="24"/>
    </w:rPr>
  </w:style>
  <w:style w:type="character" w:styleId="Strong">
    <w:name w:val="Strong"/>
    <w:basedOn w:val="DefaultParagraphFont"/>
    <w:uiPriority w:val="22"/>
    <w:qFormat/>
    <w:rsid w:val="00FD1AA2"/>
    <w:rPr>
      <w:b/>
      <w:bCs/>
    </w:rPr>
  </w:style>
  <w:style w:type="character" w:styleId="Emphasis">
    <w:name w:val="Emphasis"/>
    <w:basedOn w:val="DefaultParagraphFont"/>
    <w:uiPriority w:val="20"/>
    <w:qFormat/>
    <w:rsid w:val="00FD1AA2"/>
    <w:rPr>
      <w:rFonts w:asciiTheme="minorHAnsi" w:hAnsiTheme="minorHAnsi"/>
      <w:b/>
      <w:i/>
      <w:iCs/>
    </w:rPr>
  </w:style>
  <w:style w:type="paragraph" w:styleId="NoSpacing">
    <w:name w:val="No Spacing"/>
    <w:basedOn w:val="Normal"/>
    <w:uiPriority w:val="1"/>
    <w:qFormat/>
    <w:rsid w:val="00FD1AA2"/>
    <w:rPr>
      <w:szCs w:val="32"/>
    </w:rPr>
  </w:style>
  <w:style w:type="paragraph" w:styleId="Quote">
    <w:name w:val="Quote"/>
    <w:basedOn w:val="Normal"/>
    <w:next w:val="Normal"/>
    <w:link w:val="QuoteChar"/>
    <w:uiPriority w:val="29"/>
    <w:qFormat/>
    <w:rsid w:val="00FD1AA2"/>
    <w:rPr>
      <w:i/>
    </w:rPr>
  </w:style>
  <w:style w:type="character" w:customStyle="1" w:styleId="QuoteChar">
    <w:name w:val="Quote Char"/>
    <w:basedOn w:val="DefaultParagraphFont"/>
    <w:link w:val="Quote"/>
    <w:uiPriority w:val="29"/>
    <w:rsid w:val="00FD1AA2"/>
    <w:rPr>
      <w:i/>
      <w:sz w:val="24"/>
      <w:szCs w:val="24"/>
    </w:rPr>
  </w:style>
  <w:style w:type="paragraph" w:styleId="IntenseQuote">
    <w:name w:val="Intense Quote"/>
    <w:basedOn w:val="Normal"/>
    <w:next w:val="Normal"/>
    <w:link w:val="IntenseQuoteChar"/>
    <w:uiPriority w:val="30"/>
    <w:qFormat/>
    <w:rsid w:val="00FD1AA2"/>
    <w:pPr>
      <w:ind w:left="720" w:right="720"/>
    </w:pPr>
    <w:rPr>
      <w:b/>
      <w:i/>
      <w:szCs w:val="22"/>
    </w:rPr>
  </w:style>
  <w:style w:type="character" w:customStyle="1" w:styleId="IntenseQuoteChar">
    <w:name w:val="Intense Quote Char"/>
    <w:basedOn w:val="DefaultParagraphFont"/>
    <w:link w:val="IntenseQuote"/>
    <w:uiPriority w:val="30"/>
    <w:rsid w:val="00FD1AA2"/>
    <w:rPr>
      <w:b/>
      <w:i/>
      <w:sz w:val="24"/>
    </w:rPr>
  </w:style>
  <w:style w:type="character" w:styleId="SubtleEmphasis">
    <w:name w:val="Subtle Emphasis"/>
    <w:uiPriority w:val="19"/>
    <w:qFormat/>
    <w:rsid w:val="00FD1AA2"/>
    <w:rPr>
      <w:i/>
      <w:color w:val="5A5A5A" w:themeColor="text1" w:themeTint="A5"/>
    </w:rPr>
  </w:style>
  <w:style w:type="character" w:styleId="IntenseEmphasis">
    <w:name w:val="Intense Emphasis"/>
    <w:basedOn w:val="DefaultParagraphFont"/>
    <w:uiPriority w:val="21"/>
    <w:qFormat/>
    <w:rsid w:val="00FD1AA2"/>
    <w:rPr>
      <w:b/>
      <w:i/>
      <w:sz w:val="24"/>
      <w:szCs w:val="24"/>
      <w:u w:val="single"/>
    </w:rPr>
  </w:style>
  <w:style w:type="character" w:styleId="SubtleReference">
    <w:name w:val="Subtle Reference"/>
    <w:basedOn w:val="DefaultParagraphFont"/>
    <w:uiPriority w:val="31"/>
    <w:qFormat/>
    <w:rsid w:val="00FD1AA2"/>
    <w:rPr>
      <w:sz w:val="24"/>
      <w:szCs w:val="24"/>
      <w:u w:val="single"/>
    </w:rPr>
  </w:style>
  <w:style w:type="character" w:styleId="IntenseReference">
    <w:name w:val="Intense Reference"/>
    <w:basedOn w:val="DefaultParagraphFont"/>
    <w:uiPriority w:val="32"/>
    <w:qFormat/>
    <w:rsid w:val="00FD1AA2"/>
    <w:rPr>
      <w:b/>
      <w:sz w:val="24"/>
      <w:u w:val="single"/>
    </w:rPr>
  </w:style>
  <w:style w:type="character" w:styleId="BookTitle">
    <w:name w:val="Book Title"/>
    <w:basedOn w:val="DefaultParagraphFont"/>
    <w:uiPriority w:val="33"/>
    <w:qFormat/>
    <w:rsid w:val="00FD1AA2"/>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FD1AA2"/>
    <w:pPr>
      <w:outlineLvl w:val="9"/>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achbank.com.np/tenth" TargetMode="External"/><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chart" Target="charts/chart12.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hyperlink" Target="http://www.google.com" TargetMode="Externa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www.nrb.org.np" TargetMode="Externa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hyperlink" Target="http://www.machbank.com" TargetMode="External"/><Relationship Id="rId28"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chart" Target="charts/chart10.xml"/><Relationship Id="rId4" Type="http://schemas.openxmlformats.org/officeDocument/2006/relationships/settings" Target="settings.xml"/><Relationship Id="rId9" Type="http://schemas.openxmlformats.org/officeDocument/2006/relationships/hyperlink" Target="http://www.nrb.org.np" TargetMode="External"/><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Documents%20and%20Settings\Administrator\Desktop\Sudha%20Giri\DAta.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Documents%20and%20Settings\Administrator\Desktop\Sudha%20Giri\DAta.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Documents%20and%20Settings\Administrator\Desktop\Sudha%20Giri\DAta.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Documents%20and%20Settings\Administrator\Desktop\Sudha%20Giri\DAt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Administrator\Desktop\DAt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Administrator\Desktop\DAt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Administrator\Desktop\DAt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Administrator\Desktop\DAta.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Documents%20and%20Settings\Administrator\Desktop\DA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2827737678623521"/>
          <c:y val="0.13645294338207817"/>
          <c:w val="0.62158373432488001"/>
          <c:h val="0.66731434080943952"/>
        </c:manualLayout>
      </c:layout>
      <c:lineChart>
        <c:grouping val="standard"/>
        <c:ser>
          <c:idx val="0"/>
          <c:order val="0"/>
          <c:tx>
            <c:strRef>
              <c:f>Sheet1!$C$7</c:f>
              <c:strCache>
                <c:ptCount val="1"/>
                <c:pt idx="0">
                  <c:v>Core capital Adequacy Ratio (%)</c:v>
                </c:pt>
              </c:strCache>
            </c:strRef>
          </c:tx>
          <c:spPr>
            <a:ln>
              <a:solidFill>
                <a:sysClr val="windowText" lastClr="000000"/>
              </a:solidFill>
            </a:ln>
          </c:spPr>
          <c:marker>
            <c:spPr>
              <a:ln>
                <a:solidFill>
                  <a:sysClr val="windowText" lastClr="000000"/>
                </a:solidFill>
              </a:ln>
            </c:spPr>
          </c:marker>
          <c:cat>
            <c:strRef>
              <c:f>Sheet1!$D$6:$H$6</c:f>
              <c:strCache>
                <c:ptCount val="5"/>
                <c:pt idx="0">
                  <c:v>2062/063</c:v>
                </c:pt>
                <c:pt idx="1">
                  <c:v>2063/064</c:v>
                </c:pt>
                <c:pt idx="2">
                  <c:v>2064/065</c:v>
                </c:pt>
                <c:pt idx="3">
                  <c:v>2065/066</c:v>
                </c:pt>
                <c:pt idx="4">
                  <c:v>2066/067</c:v>
                </c:pt>
              </c:strCache>
            </c:strRef>
          </c:cat>
          <c:val>
            <c:numRef>
              <c:f>Sheet1!$D$7:$H$7</c:f>
              <c:numCache>
                <c:formatCode>General</c:formatCode>
                <c:ptCount val="5"/>
                <c:pt idx="0">
                  <c:v>11.94</c:v>
                </c:pt>
                <c:pt idx="1">
                  <c:v>10.68</c:v>
                </c:pt>
                <c:pt idx="2">
                  <c:v>10.97</c:v>
                </c:pt>
                <c:pt idx="3">
                  <c:v>10.96</c:v>
                </c:pt>
                <c:pt idx="4">
                  <c:v>9.94</c:v>
                </c:pt>
              </c:numCache>
            </c:numRef>
          </c:val>
        </c:ser>
        <c:ser>
          <c:idx val="1"/>
          <c:order val="1"/>
          <c:tx>
            <c:strRef>
              <c:f>Sheet1!$C$8</c:f>
              <c:strCache>
                <c:ptCount val="1"/>
                <c:pt idx="0">
                  <c:v>NRB Standard (%)</c:v>
                </c:pt>
              </c:strCache>
            </c:strRef>
          </c:tx>
          <c:spPr>
            <a:ln>
              <a:solidFill>
                <a:sysClr val="windowText" lastClr="000000"/>
              </a:solidFill>
              <a:prstDash val="dash"/>
            </a:ln>
          </c:spPr>
          <c:marker>
            <c:spPr>
              <a:solidFill>
                <a:schemeClr val="tx1"/>
              </a:solidFill>
              <a:ln>
                <a:solidFill>
                  <a:sysClr val="windowText" lastClr="000000"/>
                </a:solidFill>
                <a:prstDash val="dash"/>
              </a:ln>
            </c:spPr>
          </c:marker>
          <c:cat>
            <c:strRef>
              <c:f>Sheet1!$D$6:$H$6</c:f>
              <c:strCache>
                <c:ptCount val="5"/>
                <c:pt idx="0">
                  <c:v>2062/063</c:v>
                </c:pt>
                <c:pt idx="1">
                  <c:v>2063/064</c:v>
                </c:pt>
                <c:pt idx="2">
                  <c:v>2064/065</c:v>
                </c:pt>
                <c:pt idx="3">
                  <c:v>2065/066</c:v>
                </c:pt>
                <c:pt idx="4">
                  <c:v>2066/067</c:v>
                </c:pt>
              </c:strCache>
            </c:strRef>
          </c:cat>
          <c:val>
            <c:numRef>
              <c:f>Sheet1!$D$8:$H$8</c:f>
              <c:numCache>
                <c:formatCode>General</c:formatCode>
                <c:ptCount val="5"/>
                <c:pt idx="0">
                  <c:v>5.5</c:v>
                </c:pt>
                <c:pt idx="1">
                  <c:v>5.5</c:v>
                </c:pt>
                <c:pt idx="2">
                  <c:v>5.5</c:v>
                </c:pt>
                <c:pt idx="3">
                  <c:v>6</c:v>
                </c:pt>
                <c:pt idx="4">
                  <c:v>6</c:v>
                </c:pt>
              </c:numCache>
            </c:numRef>
          </c:val>
        </c:ser>
        <c:marker val="1"/>
        <c:axId val="79571584"/>
        <c:axId val="81303424"/>
      </c:lineChart>
      <c:catAx>
        <c:axId val="79571584"/>
        <c:scaling>
          <c:orientation val="minMax"/>
        </c:scaling>
        <c:axPos val="b"/>
        <c:title>
          <c:tx>
            <c:rich>
              <a:bodyPr/>
              <a:lstStyle/>
              <a:p>
                <a:pPr>
                  <a:defRPr lang="en-SG"/>
                </a:pPr>
                <a:r>
                  <a:rPr lang="en-US" sz="1400"/>
                  <a:t>Fiscal</a:t>
                </a:r>
                <a:r>
                  <a:rPr lang="en-US" sz="1400" baseline="0"/>
                  <a:t> Year </a:t>
                </a:r>
                <a:endParaRPr lang="en-US" sz="1400"/>
              </a:p>
            </c:rich>
          </c:tx>
          <c:layout>
            <c:manualLayout>
              <c:xMode val="edge"/>
              <c:yMode val="edge"/>
              <c:x val="0.37668499103998326"/>
              <c:y val="0.90676412745992652"/>
            </c:manualLayout>
          </c:layout>
        </c:title>
        <c:tickLblPos val="nextTo"/>
        <c:spPr>
          <a:ln>
            <a:solidFill>
              <a:sysClr val="windowText" lastClr="000000"/>
            </a:solidFill>
          </a:ln>
        </c:spPr>
        <c:txPr>
          <a:bodyPr/>
          <a:lstStyle/>
          <a:p>
            <a:pPr>
              <a:defRPr lang="en-SG"/>
            </a:pPr>
            <a:endParaRPr lang="en-US"/>
          </a:p>
        </c:txPr>
        <c:crossAx val="81303424"/>
        <c:crosses val="autoZero"/>
        <c:auto val="1"/>
        <c:lblAlgn val="ctr"/>
        <c:lblOffset val="100"/>
      </c:catAx>
      <c:valAx>
        <c:axId val="81303424"/>
        <c:scaling>
          <c:orientation val="minMax"/>
        </c:scaling>
        <c:axPos val="l"/>
        <c:title>
          <c:tx>
            <c:rich>
              <a:bodyPr rot="-5400000" vert="horz"/>
              <a:lstStyle/>
              <a:p>
                <a:pPr>
                  <a:defRPr lang="en-SG"/>
                </a:pPr>
                <a:r>
                  <a:rPr lang="en-US" sz="1200"/>
                  <a:t>Ratio (%)</a:t>
                </a:r>
              </a:p>
            </c:rich>
          </c:tx>
        </c:title>
        <c:numFmt formatCode="General" sourceLinked="1"/>
        <c:tickLblPos val="nextTo"/>
        <c:spPr>
          <a:ln>
            <a:solidFill>
              <a:sysClr val="windowText" lastClr="000000"/>
            </a:solidFill>
          </a:ln>
        </c:spPr>
        <c:txPr>
          <a:bodyPr/>
          <a:lstStyle/>
          <a:p>
            <a:pPr>
              <a:defRPr lang="en-SG"/>
            </a:pPr>
            <a:endParaRPr lang="en-US"/>
          </a:p>
        </c:txPr>
        <c:crossAx val="79571584"/>
        <c:crosses val="autoZero"/>
        <c:crossBetween val="between"/>
      </c:valAx>
    </c:plotArea>
    <c:legend>
      <c:legendPos val="r"/>
      <c:layout>
        <c:manualLayout>
          <c:xMode val="edge"/>
          <c:yMode val="edge"/>
          <c:x val="0.73365740740741203"/>
          <c:y val="6.7868353190545377E-2"/>
          <c:w val="0.25245370370370368"/>
          <c:h val="0.27661899756160974"/>
        </c:manualLayout>
      </c:layout>
      <c:spPr>
        <a:ln>
          <a:solidFill>
            <a:sysClr val="windowText" lastClr="000000"/>
          </a:solidFill>
        </a:ln>
      </c:spPr>
      <c:txPr>
        <a:bodyPr/>
        <a:lstStyle/>
        <a:p>
          <a:pPr>
            <a:defRPr lang="en-SG"/>
          </a:pPr>
          <a:endParaRPr lang="en-US"/>
        </a:p>
      </c:txPr>
    </c:legend>
    <c:plotVisOnly val="1"/>
  </c:chart>
  <c:spPr>
    <a:ln w="19050">
      <a:solidFill>
        <a:sysClr val="windowText" lastClr="000000"/>
      </a:solidFill>
    </a:ln>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6762922863808569"/>
          <c:y val="0.13645294338207831"/>
          <c:w val="0.62158373432488201"/>
          <c:h val="0.66731434080943952"/>
        </c:manualLayout>
      </c:layout>
      <c:lineChart>
        <c:grouping val="standard"/>
        <c:ser>
          <c:idx val="0"/>
          <c:order val="0"/>
          <c:tx>
            <c:strRef>
              <c:f>Sheet2!$C$13</c:f>
              <c:strCache>
                <c:ptCount val="1"/>
                <c:pt idx="0">
                  <c:v>Earning Per Employee (Rs.)</c:v>
                </c:pt>
              </c:strCache>
            </c:strRef>
          </c:tx>
          <c:spPr>
            <a:ln>
              <a:solidFill>
                <a:sysClr val="windowText" lastClr="000000"/>
              </a:solidFill>
              <a:prstDash val="solid"/>
            </a:ln>
          </c:spPr>
          <c:marker>
            <c:spPr>
              <a:ln>
                <a:solidFill>
                  <a:sysClr val="windowText" lastClr="000000"/>
                </a:solidFill>
                <a:prstDash val="solid"/>
              </a:ln>
            </c:spPr>
          </c:marker>
          <c:cat>
            <c:strRef>
              <c:f>Sheet2!$D$12:$H$12</c:f>
              <c:strCache>
                <c:ptCount val="5"/>
                <c:pt idx="0">
                  <c:v>2062/063</c:v>
                </c:pt>
                <c:pt idx="1">
                  <c:v>2063/064</c:v>
                </c:pt>
                <c:pt idx="2">
                  <c:v>2064/065</c:v>
                </c:pt>
                <c:pt idx="3">
                  <c:v>2065/066</c:v>
                </c:pt>
                <c:pt idx="4">
                  <c:v>2066/067</c:v>
                </c:pt>
              </c:strCache>
            </c:strRef>
          </c:cat>
          <c:val>
            <c:numRef>
              <c:f>Sheet2!$D$13:$H$13</c:f>
              <c:numCache>
                <c:formatCode>General</c:formatCode>
                <c:ptCount val="5"/>
                <c:pt idx="0">
                  <c:v>683656.68099999696</c:v>
                </c:pt>
                <c:pt idx="1">
                  <c:v>328201.962</c:v>
                </c:pt>
                <c:pt idx="2">
                  <c:v>271616.62</c:v>
                </c:pt>
                <c:pt idx="3">
                  <c:v>280754.21000000002</c:v>
                </c:pt>
                <c:pt idx="4">
                  <c:v>149009.75399999999</c:v>
                </c:pt>
              </c:numCache>
            </c:numRef>
          </c:val>
        </c:ser>
        <c:marker val="1"/>
        <c:axId val="79404032"/>
        <c:axId val="79586816"/>
      </c:lineChart>
      <c:catAx>
        <c:axId val="79404032"/>
        <c:scaling>
          <c:orientation val="minMax"/>
        </c:scaling>
        <c:axPos val="b"/>
        <c:title>
          <c:tx>
            <c:rich>
              <a:bodyPr/>
              <a:lstStyle/>
              <a:p>
                <a:pPr>
                  <a:defRPr lang="en-SG"/>
                </a:pPr>
                <a:r>
                  <a:rPr lang="en-US" sz="1400"/>
                  <a:t>Fiscal</a:t>
                </a:r>
                <a:r>
                  <a:rPr lang="en-US" sz="1400" baseline="0"/>
                  <a:t> Year </a:t>
                </a:r>
                <a:endParaRPr lang="en-US" sz="1400"/>
              </a:p>
            </c:rich>
          </c:tx>
        </c:title>
        <c:numFmt formatCode="General" sourceLinked="1"/>
        <c:tickLblPos val="nextTo"/>
        <c:spPr>
          <a:ln>
            <a:solidFill>
              <a:sysClr val="windowText" lastClr="000000"/>
            </a:solidFill>
          </a:ln>
        </c:spPr>
        <c:txPr>
          <a:bodyPr/>
          <a:lstStyle/>
          <a:p>
            <a:pPr>
              <a:defRPr lang="en-SG"/>
            </a:pPr>
            <a:endParaRPr lang="en-US"/>
          </a:p>
        </c:txPr>
        <c:crossAx val="79586816"/>
        <c:crosses val="autoZero"/>
        <c:auto val="1"/>
        <c:lblAlgn val="ctr"/>
        <c:lblOffset val="100"/>
      </c:catAx>
      <c:valAx>
        <c:axId val="79586816"/>
        <c:scaling>
          <c:orientation val="minMax"/>
        </c:scaling>
        <c:axPos val="l"/>
        <c:title>
          <c:tx>
            <c:rich>
              <a:bodyPr rot="-5400000" vert="horz"/>
              <a:lstStyle/>
              <a:p>
                <a:pPr>
                  <a:defRPr lang="en-SG"/>
                </a:pPr>
                <a:r>
                  <a:rPr lang="en-US" sz="1200"/>
                  <a:t>Ratio (%)</a:t>
                </a:r>
              </a:p>
            </c:rich>
          </c:tx>
        </c:title>
        <c:numFmt formatCode="General" sourceLinked="1"/>
        <c:tickLblPos val="nextTo"/>
        <c:spPr>
          <a:ln>
            <a:solidFill>
              <a:sysClr val="windowText" lastClr="000000"/>
            </a:solidFill>
          </a:ln>
        </c:spPr>
        <c:txPr>
          <a:bodyPr/>
          <a:lstStyle/>
          <a:p>
            <a:pPr>
              <a:defRPr lang="en-SG"/>
            </a:pPr>
            <a:endParaRPr lang="en-US"/>
          </a:p>
        </c:txPr>
        <c:crossAx val="79404032"/>
        <c:crosses val="autoZero"/>
        <c:crossBetween val="between"/>
      </c:valAx>
    </c:plotArea>
    <c:legend>
      <c:legendPos val="r"/>
      <c:layout>
        <c:manualLayout>
          <c:xMode val="edge"/>
          <c:yMode val="edge"/>
          <c:x val="0.73365740740741425"/>
          <c:y val="6.78683531905451E-2"/>
          <c:w val="0.25245370370370368"/>
          <c:h val="0.19176541707796876"/>
        </c:manualLayout>
      </c:layout>
      <c:spPr>
        <a:ln>
          <a:solidFill>
            <a:sysClr val="windowText" lastClr="000000"/>
          </a:solidFill>
        </a:ln>
      </c:spPr>
      <c:txPr>
        <a:bodyPr/>
        <a:lstStyle/>
        <a:p>
          <a:pPr>
            <a:defRPr lang="en-SG"/>
          </a:pPr>
          <a:endParaRPr lang="en-US"/>
        </a:p>
      </c:txPr>
    </c:legend>
    <c:plotVisOnly val="1"/>
  </c:chart>
  <c:spPr>
    <a:ln w="19050">
      <a:solidFill>
        <a:sysClr val="windowText" lastClr="000000"/>
      </a:solidFill>
    </a:ln>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6762922863808569"/>
          <c:y val="0.13645294338207831"/>
          <c:w val="0.62158373432488201"/>
          <c:h val="0.66731434080943952"/>
        </c:manualLayout>
      </c:layout>
      <c:lineChart>
        <c:grouping val="standard"/>
        <c:ser>
          <c:idx val="0"/>
          <c:order val="0"/>
          <c:tx>
            <c:strRef>
              <c:f>Sheet2!$C$28</c:f>
              <c:strCache>
                <c:ptCount val="1"/>
                <c:pt idx="0">
                  <c:v>NRB Balance to deposit (%)</c:v>
                </c:pt>
              </c:strCache>
            </c:strRef>
          </c:tx>
          <c:spPr>
            <a:ln>
              <a:solidFill>
                <a:sysClr val="windowText" lastClr="000000"/>
              </a:solidFill>
              <a:prstDash val="solid"/>
            </a:ln>
          </c:spPr>
          <c:marker>
            <c:spPr>
              <a:ln>
                <a:solidFill>
                  <a:sysClr val="windowText" lastClr="000000"/>
                </a:solidFill>
                <a:prstDash val="solid"/>
              </a:ln>
            </c:spPr>
          </c:marker>
          <c:cat>
            <c:strRef>
              <c:f>Sheet2!$D$27:$H$27</c:f>
              <c:strCache>
                <c:ptCount val="5"/>
                <c:pt idx="0">
                  <c:v>2062/063</c:v>
                </c:pt>
                <c:pt idx="1">
                  <c:v>2063/064</c:v>
                </c:pt>
                <c:pt idx="2">
                  <c:v>2064/065</c:v>
                </c:pt>
                <c:pt idx="3">
                  <c:v>2065/066</c:v>
                </c:pt>
                <c:pt idx="4">
                  <c:v>2066/067</c:v>
                </c:pt>
              </c:strCache>
            </c:strRef>
          </c:cat>
          <c:val>
            <c:numRef>
              <c:f>Sheet2!$D$28:$H$28</c:f>
              <c:numCache>
                <c:formatCode>General</c:formatCode>
                <c:ptCount val="5"/>
                <c:pt idx="0">
                  <c:v>6.2</c:v>
                </c:pt>
                <c:pt idx="1">
                  <c:v>8.2900000000000009</c:v>
                </c:pt>
                <c:pt idx="2">
                  <c:v>8.0500000000000007</c:v>
                </c:pt>
                <c:pt idx="3">
                  <c:v>11.25</c:v>
                </c:pt>
                <c:pt idx="4">
                  <c:v>5.91</c:v>
                </c:pt>
              </c:numCache>
            </c:numRef>
          </c:val>
        </c:ser>
        <c:marker val="1"/>
        <c:axId val="44786816"/>
        <c:axId val="44789120"/>
      </c:lineChart>
      <c:catAx>
        <c:axId val="44786816"/>
        <c:scaling>
          <c:orientation val="minMax"/>
        </c:scaling>
        <c:axPos val="b"/>
        <c:title>
          <c:tx>
            <c:rich>
              <a:bodyPr/>
              <a:lstStyle/>
              <a:p>
                <a:pPr>
                  <a:defRPr lang="en-SG"/>
                </a:pPr>
                <a:r>
                  <a:rPr lang="en-US" sz="1400"/>
                  <a:t>Fiscal</a:t>
                </a:r>
                <a:r>
                  <a:rPr lang="en-US" sz="1400" baseline="0"/>
                  <a:t> Year </a:t>
                </a:r>
                <a:endParaRPr lang="en-US" sz="1400"/>
              </a:p>
            </c:rich>
          </c:tx>
        </c:title>
        <c:numFmt formatCode="General" sourceLinked="1"/>
        <c:tickLblPos val="nextTo"/>
        <c:spPr>
          <a:ln>
            <a:solidFill>
              <a:sysClr val="windowText" lastClr="000000"/>
            </a:solidFill>
          </a:ln>
        </c:spPr>
        <c:txPr>
          <a:bodyPr/>
          <a:lstStyle/>
          <a:p>
            <a:pPr>
              <a:defRPr lang="en-SG"/>
            </a:pPr>
            <a:endParaRPr lang="en-US"/>
          </a:p>
        </c:txPr>
        <c:crossAx val="44789120"/>
        <c:crosses val="autoZero"/>
        <c:auto val="1"/>
        <c:lblAlgn val="ctr"/>
        <c:lblOffset val="100"/>
      </c:catAx>
      <c:valAx>
        <c:axId val="44789120"/>
        <c:scaling>
          <c:orientation val="minMax"/>
        </c:scaling>
        <c:axPos val="l"/>
        <c:title>
          <c:tx>
            <c:rich>
              <a:bodyPr rot="-5400000" vert="horz"/>
              <a:lstStyle/>
              <a:p>
                <a:pPr>
                  <a:defRPr lang="en-SG"/>
                </a:pPr>
                <a:r>
                  <a:rPr lang="en-US" sz="1200"/>
                  <a:t>Ratio (%)</a:t>
                </a:r>
              </a:p>
            </c:rich>
          </c:tx>
        </c:title>
        <c:numFmt formatCode="General" sourceLinked="1"/>
        <c:tickLblPos val="nextTo"/>
        <c:spPr>
          <a:ln>
            <a:solidFill>
              <a:sysClr val="windowText" lastClr="000000"/>
            </a:solidFill>
          </a:ln>
        </c:spPr>
        <c:txPr>
          <a:bodyPr/>
          <a:lstStyle/>
          <a:p>
            <a:pPr>
              <a:defRPr lang="en-SG"/>
            </a:pPr>
            <a:endParaRPr lang="en-US"/>
          </a:p>
        </c:txPr>
        <c:crossAx val="44786816"/>
        <c:crosses val="autoZero"/>
        <c:crossBetween val="between"/>
      </c:valAx>
    </c:plotArea>
    <c:legend>
      <c:legendPos val="r"/>
      <c:layout>
        <c:manualLayout>
          <c:xMode val="edge"/>
          <c:yMode val="edge"/>
          <c:x val="0.73365740740741425"/>
          <c:y val="6.78683531905451E-2"/>
          <c:w val="0.25245370370370368"/>
          <c:h val="0.19176541707796876"/>
        </c:manualLayout>
      </c:layout>
      <c:spPr>
        <a:ln>
          <a:solidFill>
            <a:sysClr val="windowText" lastClr="000000"/>
          </a:solidFill>
        </a:ln>
      </c:spPr>
      <c:txPr>
        <a:bodyPr/>
        <a:lstStyle/>
        <a:p>
          <a:pPr>
            <a:defRPr lang="en-SG"/>
          </a:pPr>
          <a:endParaRPr lang="en-US"/>
        </a:p>
      </c:txPr>
    </c:legend>
    <c:plotVisOnly val="1"/>
  </c:chart>
  <c:spPr>
    <a:ln w="19050">
      <a:solidFill>
        <a:sysClr val="windowText" lastClr="000000"/>
      </a:solidFill>
    </a:ln>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6762922863808566"/>
          <c:y val="0.13645294338207833"/>
          <c:w val="0.62158373432488212"/>
          <c:h val="0.66731434080943952"/>
        </c:manualLayout>
      </c:layout>
      <c:lineChart>
        <c:grouping val="standard"/>
        <c:ser>
          <c:idx val="0"/>
          <c:order val="0"/>
          <c:tx>
            <c:strRef>
              <c:f>Sheet2!$D$42</c:f>
              <c:strCache>
                <c:ptCount val="1"/>
                <c:pt idx="0">
                  <c:v>Cash and Bank Ratio (%)</c:v>
                </c:pt>
              </c:strCache>
            </c:strRef>
          </c:tx>
          <c:spPr>
            <a:ln>
              <a:solidFill>
                <a:sysClr val="windowText" lastClr="000000"/>
              </a:solidFill>
              <a:prstDash val="solid"/>
            </a:ln>
          </c:spPr>
          <c:marker>
            <c:spPr>
              <a:ln>
                <a:solidFill>
                  <a:sysClr val="windowText" lastClr="000000"/>
                </a:solidFill>
                <a:prstDash val="solid"/>
              </a:ln>
            </c:spPr>
          </c:marker>
          <c:cat>
            <c:strRef>
              <c:f>Sheet2!$E$41:$I$41</c:f>
              <c:strCache>
                <c:ptCount val="5"/>
                <c:pt idx="0">
                  <c:v>2062/063</c:v>
                </c:pt>
                <c:pt idx="1">
                  <c:v>2063/064</c:v>
                </c:pt>
                <c:pt idx="2">
                  <c:v>2064/065</c:v>
                </c:pt>
                <c:pt idx="3">
                  <c:v>2065/066</c:v>
                </c:pt>
                <c:pt idx="4">
                  <c:v>2066/067</c:v>
                </c:pt>
              </c:strCache>
            </c:strRef>
          </c:cat>
          <c:val>
            <c:numRef>
              <c:f>Sheet2!$E$42:$I$42</c:f>
              <c:numCache>
                <c:formatCode>General</c:formatCode>
                <c:ptCount val="5"/>
                <c:pt idx="0">
                  <c:v>10.31</c:v>
                </c:pt>
                <c:pt idx="1">
                  <c:v>13.55</c:v>
                </c:pt>
                <c:pt idx="2">
                  <c:v>14.31</c:v>
                </c:pt>
                <c:pt idx="3">
                  <c:v>17.739999999999988</c:v>
                </c:pt>
                <c:pt idx="4">
                  <c:v>13.27</c:v>
                </c:pt>
              </c:numCache>
            </c:numRef>
          </c:val>
        </c:ser>
        <c:marker val="1"/>
        <c:axId val="44817024"/>
        <c:axId val="45089920"/>
      </c:lineChart>
      <c:catAx>
        <c:axId val="44817024"/>
        <c:scaling>
          <c:orientation val="minMax"/>
        </c:scaling>
        <c:axPos val="b"/>
        <c:title>
          <c:tx>
            <c:rich>
              <a:bodyPr/>
              <a:lstStyle/>
              <a:p>
                <a:pPr>
                  <a:defRPr lang="en-SG"/>
                </a:pPr>
                <a:r>
                  <a:rPr lang="en-US" sz="1400"/>
                  <a:t>Fiscal</a:t>
                </a:r>
                <a:r>
                  <a:rPr lang="en-US" sz="1400" baseline="0"/>
                  <a:t> Year </a:t>
                </a:r>
                <a:endParaRPr lang="en-US" sz="1400"/>
              </a:p>
            </c:rich>
          </c:tx>
        </c:title>
        <c:numFmt formatCode="General" sourceLinked="1"/>
        <c:tickLblPos val="nextTo"/>
        <c:spPr>
          <a:ln>
            <a:solidFill>
              <a:sysClr val="windowText" lastClr="000000"/>
            </a:solidFill>
          </a:ln>
        </c:spPr>
        <c:txPr>
          <a:bodyPr/>
          <a:lstStyle/>
          <a:p>
            <a:pPr>
              <a:defRPr lang="en-SG"/>
            </a:pPr>
            <a:endParaRPr lang="en-US"/>
          </a:p>
        </c:txPr>
        <c:crossAx val="45089920"/>
        <c:crosses val="autoZero"/>
        <c:auto val="1"/>
        <c:lblAlgn val="ctr"/>
        <c:lblOffset val="100"/>
      </c:catAx>
      <c:valAx>
        <c:axId val="45089920"/>
        <c:scaling>
          <c:orientation val="minMax"/>
        </c:scaling>
        <c:axPos val="l"/>
        <c:title>
          <c:tx>
            <c:rich>
              <a:bodyPr rot="-5400000" vert="horz"/>
              <a:lstStyle/>
              <a:p>
                <a:pPr>
                  <a:defRPr lang="en-SG"/>
                </a:pPr>
                <a:r>
                  <a:rPr lang="en-US" sz="1200"/>
                  <a:t>Ratio (%)</a:t>
                </a:r>
              </a:p>
            </c:rich>
          </c:tx>
        </c:title>
        <c:numFmt formatCode="General" sourceLinked="1"/>
        <c:tickLblPos val="nextTo"/>
        <c:spPr>
          <a:ln>
            <a:solidFill>
              <a:sysClr val="windowText" lastClr="000000"/>
            </a:solidFill>
          </a:ln>
        </c:spPr>
        <c:txPr>
          <a:bodyPr/>
          <a:lstStyle/>
          <a:p>
            <a:pPr>
              <a:defRPr lang="en-SG"/>
            </a:pPr>
            <a:endParaRPr lang="en-US"/>
          </a:p>
        </c:txPr>
        <c:crossAx val="44817024"/>
        <c:crosses val="autoZero"/>
        <c:crossBetween val="between"/>
      </c:valAx>
    </c:plotArea>
    <c:legend>
      <c:legendPos val="r"/>
      <c:layout>
        <c:manualLayout>
          <c:xMode val="edge"/>
          <c:yMode val="edge"/>
          <c:x val="0.73365740740741436"/>
          <c:y val="6.78683531905451E-2"/>
          <c:w val="0.25245370370370368"/>
          <c:h val="0.19176541707796879"/>
        </c:manualLayout>
      </c:layout>
      <c:spPr>
        <a:ln>
          <a:solidFill>
            <a:sysClr val="windowText" lastClr="000000"/>
          </a:solidFill>
        </a:ln>
      </c:spPr>
      <c:txPr>
        <a:bodyPr/>
        <a:lstStyle/>
        <a:p>
          <a:pPr>
            <a:defRPr lang="en-SG"/>
          </a:pPr>
          <a:endParaRPr lang="en-US"/>
        </a:p>
      </c:txPr>
    </c:legend>
    <c:plotVisOnly val="1"/>
  </c:chart>
  <c:spPr>
    <a:ln w="19050">
      <a:solidFill>
        <a:sysClr val="windowText" lastClr="000000"/>
      </a:solidFill>
    </a:ln>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676292286380856"/>
          <c:y val="0.13645294338207839"/>
          <c:w val="0.62158373432488234"/>
          <c:h val="0.66731434080943952"/>
        </c:manualLayout>
      </c:layout>
      <c:lineChart>
        <c:grouping val="standard"/>
        <c:ser>
          <c:idx val="0"/>
          <c:order val="0"/>
          <c:tx>
            <c:strRef>
              <c:f>Sheet2!$D$61</c:f>
              <c:strCache>
                <c:ptCount val="1"/>
                <c:pt idx="0">
                  <c:v>Investment on Government Security  Ratio (%)</c:v>
                </c:pt>
              </c:strCache>
            </c:strRef>
          </c:tx>
          <c:spPr>
            <a:ln>
              <a:solidFill>
                <a:sysClr val="windowText" lastClr="000000"/>
              </a:solidFill>
              <a:prstDash val="solid"/>
            </a:ln>
          </c:spPr>
          <c:marker>
            <c:spPr>
              <a:ln>
                <a:solidFill>
                  <a:sysClr val="windowText" lastClr="000000"/>
                </a:solidFill>
                <a:prstDash val="solid"/>
              </a:ln>
            </c:spPr>
          </c:marker>
          <c:cat>
            <c:strRef>
              <c:f>Sheet2!$E$60:$I$60</c:f>
              <c:strCache>
                <c:ptCount val="5"/>
                <c:pt idx="0">
                  <c:v>2062/063</c:v>
                </c:pt>
                <c:pt idx="1">
                  <c:v>2063/064</c:v>
                </c:pt>
                <c:pt idx="2">
                  <c:v>2064/065</c:v>
                </c:pt>
                <c:pt idx="3">
                  <c:v>2065/066</c:v>
                </c:pt>
                <c:pt idx="4">
                  <c:v>2066/067</c:v>
                </c:pt>
              </c:strCache>
            </c:strRef>
          </c:cat>
          <c:val>
            <c:numRef>
              <c:f>Sheet2!$E$61:$I$61</c:f>
              <c:numCache>
                <c:formatCode>General</c:formatCode>
                <c:ptCount val="5"/>
                <c:pt idx="0">
                  <c:v>11.46</c:v>
                </c:pt>
                <c:pt idx="1">
                  <c:v>10.040000000000001</c:v>
                </c:pt>
                <c:pt idx="2">
                  <c:v>7.45</c:v>
                </c:pt>
                <c:pt idx="3">
                  <c:v>3.06</c:v>
                </c:pt>
                <c:pt idx="4">
                  <c:v>10.229999999999999</c:v>
                </c:pt>
              </c:numCache>
            </c:numRef>
          </c:val>
        </c:ser>
        <c:marker val="1"/>
        <c:axId val="45130112"/>
        <c:axId val="45132416"/>
      </c:lineChart>
      <c:catAx>
        <c:axId val="45130112"/>
        <c:scaling>
          <c:orientation val="minMax"/>
        </c:scaling>
        <c:axPos val="b"/>
        <c:title>
          <c:tx>
            <c:rich>
              <a:bodyPr/>
              <a:lstStyle/>
              <a:p>
                <a:pPr>
                  <a:defRPr lang="en-SG"/>
                </a:pPr>
                <a:r>
                  <a:rPr lang="en-US" sz="1400"/>
                  <a:t>Fiscal</a:t>
                </a:r>
                <a:r>
                  <a:rPr lang="en-US" sz="1400" baseline="0"/>
                  <a:t> Year </a:t>
                </a:r>
                <a:endParaRPr lang="en-US" sz="1400"/>
              </a:p>
            </c:rich>
          </c:tx>
        </c:title>
        <c:numFmt formatCode="General" sourceLinked="1"/>
        <c:tickLblPos val="nextTo"/>
        <c:spPr>
          <a:ln>
            <a:solidFill>
              <a:sysClr val="windowText" lastClr="000000"/>
            </a:solidFill>
          </a:ln>
        </c:spPr>
        <c:txPr>
          <a:bodyPr/>
          <a:lstStyle/>
          <a:p>
            <a:pPr>
              <a:defRPr lang="en-SG"/>
            </a:pPr>
            <a:endParaRPr lang="en-US"/>
          </a:p>
        </c:txPr>
        <c:crossAx val="45132416"/>
        <c:crosses val="autoZero"/>
        <c:auto val="1"/>
        <c:lblAlgn val="ctr"/>
        <c:lblOffset val="100"/>
      </c:catAx>
      <c:valAx>
        <c:axId val="45132416"/>
        <c:scaling>
          <c:orientation val="minMax"/>
        </c:scaling>
        <c:axPos val="l"/>
        <c:title>
          <c:tx>
            <c:rich>
              <a:bodyPr rot="-5400000" vert="horz"/>
              <a:lstStyle/>
              <a:p>
                <a:pPr>
                  <a:defRPr lang="en-SG"/>
                </a:pPr>
                <a:r>
                  <a:rPr lang="en-US" sz="1200"/>
                  <a:t>Ratio (%)</a:t>
                </a:r>
              </a:p>
            </c:rich>
          </c:tx>
        </c:title>
        <c:numFmt formatCode="General" sourceLinked="1"/>
        <c:tickLblPos val="nextTo"/>
        <c:spPr>
          <a:ln>
            <a:solidFill>
              <a:sysClr val="windowText" lastClr="000000"/>
            </a:solidFill>
          </a:ln>
        </c:spPr>
        <c:txPr>
          <a:bodyPr/>
          <a:lstStyle/>
          <a:p>
            <a:pPr>
              <a:defRPr lang="en-SG"/>
            </a:pPr>
            <a:endParaRPr lang="en-US"/>
          </a:p>
        </c:txPr>
        <c:crossAx val="45130112"/>
        <c:crosses val="autoZero"/>
        <c:crossBetween val="between"/>
      </c:valAx>
    </c:plotArea>
    <c:legend>
      <c:legendPos val="r"/>
      <c:layout>
        <c:manualLayout>
          <c:xMode val="edge"/>
          <c:yMode val="edge"/>
          <c:x val="0.72161927754696964"/>
          <c:y val="6.7868263651553823E-2"/>
          <c:w val="0.25245370370370368"/>
          <c:h val="0.19176541707796887"/>
        </c:manualLayout>
      </c:layout>
      <c:spPr>
        <a:ln>
          <a:solidFill>
            <a:sysClr val="windowText" lastClr="000000"/>
          </a:solidFill>
        </a:ln>
      </c:spPr>
      <c:txPr>
        <a:bodyPr/>
        <a:lstStyle/>
        <a:p>
          <a:pPr>
            <a:defRPr lang="en-SG"/>
          </a:pPr>
          <a:endParaRPr lang="en-US"/>
        </a:p>
      </c:txPr>
    </c:legend>
    <c:plotVisOnly val="1"/>
  </c:chart>
  <c:spPr>
    <a:ln w="19050">
      <a:solidFill>
        <a:sysClr val="windowText" lastClr="000000"/>
      </a:solid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2827737678623521"/>
          <c:y val="0.13645294338207825"/>
          <c:w val="0.64324691090109165"/>
          <c:h val="0.67135659071400133"/>
        </c:manualLayout>
      </c:layout>
      <c:lineChart>
        <c:grouping val="standard"/>
        <c:ser>
          <c:idx val="0"/>
          <c:order val="0"/>
          <c:tx>
            <c:strRef>
              <c:f>Sheet1!$C$26</c:f>
              <c:strCache>
                <c:ptCount val="1"/>
                <c:pt idx="0">
                  <c:v>Supplementary Capital Adequacy Ratio (%)</c:v>
                </c:pt>
              </c:strCache>
            </c:strRef>
          </c:tx>
          <c:spPr>
            <a:ln>
              <a:solidFill>
                <a:sysClr val="windowText" lastClr="000000"/>
              </a:solidFill>
              <a:prstDash val="sysDash"/>
            </a:ln>
          </c:spPr>
          <c:marker>
            <c:spPr>
              <a:ln>
                <a:solidFill>
                  <a:sysClr val="windowText" lastClr="000000"/>
                </a:solidFill>
                <a:prstDash val="sysDash"/>
              </a:ln>
            </c:spPr>
          </c:marker>
          <c:cat>
            <c:strRef>
              <c:f>Sheet1!$D$25:$H$25</c:f>
              <c:strCache>
                <c:ptCount val="5"/>
                <c:pt idx="0">
                  <c:v>2062/063</c:v>
                </c:pt>
                <c:pt idx="1">
                  <c:v>2063/064</c:v>
                </c:pt>
                <c:pt idx="2">
                  <c:v>2064/065</c:v>
                </c:pt>
                <c:pt idx="3">
                  <c:v>2065/066</c:v>
                </c:pt>
                <c:pt idx="4">
                  <c:v>2066/067</c:v>
                </c:pt>
              </c:strCache>
            </c:strRef>
          </c:cat>
          <c:val>
            <c:numRef>
              <c:f>Sheet1!$D$26:$H$26</c:f>
              <c:numCache>
                <c:formatCode>General</c:formatCode>
                <c:ptCount val="5"/>
                <c:pt idx="0">
                  <c:v>0.85000000000000064</c:v>
                </c:pt>
                <c:pt idx="1">
                  <c:v>1.3</c:v>
                </c:pt>
                <c:pt idx="2">
                  <c:v>1.31</c:v>
                </c:pt>
                <c:pt idx="3">
                  <c:v>0.88</c:v>
                </c:pt>
                <c:pt idx="4">
                  <c:v>1.3</c:v>
                </c:pt>
              </c:numCache>
            </c:numRef>
          </c:val>
        </c:ser>
        <c:ser>
          <c:idx val="1"/>
          <c:order val="1"/>
          <c:tx>
            <c:strRef>
              <c:f>Sheet1!$C$27</c:f>
              <c:strCache>
                <c:ptCount val="1"/>
                <c:pt idx="0">
                  <c:v>NRB Standard (not more than core capital adequacy ratio)</c:v>
                </c:pt>
              </c:strCache>
            </c:strRef>
          </c:tx>
          <c:spPr>
            <a:ln>
              <a:solidFill>
                <a:sysClr val="windowText" lastClr="000000"/>
              </a:solidFill>
            </a:ln>
          </c:spPr>
          <c:marker>
            <c:spPr>
              <a:solidFill>
                <a:schemeClr val="tx1"/>
              </a:solidFill>
              <a:ln>
                <a:solidFill>
                  <a:sysClr val="windowText" lastClr="000000"/>
                </a:solidFill>
              </a:ln>
            </c:spPr>
          </c:marker>
          <c:cat>
            <c:strRef>
              <c:f>Sheet1!$D$25:$H$25</c:f>
              <c:strCache>
                <c:ptCount val="5"/>
                <c:pt idx="0">
                  <c:v>2062/063</c:v>
                </c:pt>
                <c:pt idx="1">
                  <c:v>2063/064</c:v>
                </c:pt>
                <c:pt idx="2">
                  <c:v>2064/065</c:v>
                </c:pt>
                <c:pt idx="3">
                  <c:v>2065/066</c:v>
                </c:pt>
                <c:pt idx="4">
                  <c:v>2066/067</c:v>
                </c:pt>
              </c:strCache>
            </c:strRef>
          </c:cat>
          <c:val>
            <c:numRef>
              <c:f>Sheet1!$D$27:$H$27</c:f>
              <c:numCache>
                <c:formatCode>General</c:formatCode>
                <c:ptCount val="5"/>
                <c:pt idx="0">
                  <c:v>11.94</c:v>
                </c:pt>
                <c:pt idx="1">
                  <c:v>10.68</c:v>
                </c:pt>
                <c:pt idx="2">
                  <c:v>10.97</c:v>
                </c:pt>
                <c:pt idx="3">
                  <c:v>10.96</c:v>
                </c:pt>
                <c:pt idx="4">
                  <c:v>9.94</c:v>
                </c:pt>
              </c:numCache>
            </c:numRef>
          </c:val>
        </c:ser>
        <c:marker val="1"/>
        <c:axId val="103827712"/>
        <c:axId val="103868288"/>
      </c:lineChart>
      <c:catAx>
        <c:axId val="103827712"/>
        <c:scaling>
          <c:orientation val="minMax"/>
        </c:scaling>
        <c:axPos val="b"/>
        <c:title>
          <c:tx>
            <c:rich>
              <a:bodyPr/>
              <a:lstStyle/>
              <a:p>
                <a:pPr>
                  <a:defRPr lang="en-SG"/>
                </a:pPr>
                <a:r>
                  <a:rPr lang="en-US" sz="1400"/>
                  <a:t>Fiscal</a:t>
                </a:r>
                <a:r>
                  <a:rPr lang="en-US" sz="1400" baseline="0"/>
                  <a:t> Year </a:t>
                </a:r>
                <a:endParaRPr lang="en-US" sz="1400"/>
              </a:p>
            </c:rich>
          </c:tx>
        </c:title>
        <c:tickLblPos val="nextTo"/>
        <c:spPr>
          <a:ln>
            <a:solidFill>
              <a:sysClr val="windowText" lastClr="000000"/>
            </a:solidFill>
          </a:ln>
        </c:spPr>
        <c:txPr>
          <a:bodyPr/>
          <a:lstStyle/>
          <a:p>
            <a:pPr>
              <a:defRPr lang="en-SG"/>
            </a:pPr>
            <a:endParaRPr lang="en-US"/>
          </a:p>
        </c:txPr>
        <c:crossAx val="103868288"/>
        <c:crosses val="autoZero"/>
        <c:auto val="1"/>
        <c:lblAlgn val="ctr"/>
        <c:lblOffset val="100"/>
      </c:catAx>
      <c:valAx>
        <c:axId val="103868288"/>
        <c:scaling>
          <c:orientation val="minMax"/>
        </c:scaling>
        <c:axPos val="l"/>
        <c:title>
          <c:tx>
            <c:rich>
              <a:bodyPr rot="-5400000" vert="horz"/>
              <a:lstStyle/>
              <a:p>
                <a:pPr>
                  <a:defRPr lang="en-SG"/>
                </a:pPr>
                <a:r>
                  <a:rPr lang="en-US" sz="1200"/>
                  <a:t>Ratio (%)</a:t>
                </a:r>
              </a:p>
            </c:rich>
          </c:tx>
        </c:title>
        <c:numFmt formatCode="General" sourceLinked="1"/>
        <c:tickLblPos val="nextTo"/>
        <c:spPr>
          <a:ln>
            <a:solidFill>
              <a:sysClr val="windowText" lastClr="000000"/>
            </a:solidFill>
          </a:ln>
        </c:spPr>
        <c:txPr>
          <a:bodyPr/>
          <a:lstStyle/>
          <a:p>
            <a:pPr>
              <a:defRPr lang="en-SG"/>
            </a:pPr>
            <a:endParaRPr lang="en-US"/>
          </a:p>
        </c:txPr>
        <c:crossAx val="103827712"/>
        <c:crosses val="autoZero"/>
        <c:crossBetween val="between"/>
      </c:valAx>
    </c:plotArea>
    <c:legend>
      <c:legendPos val="r"/>
      <c:layout>
        <c:manualLayout>
          <c:xMode val="edge"/>
          <c:yMode val="edge"/>
          <c:x val="0.73365740740741225"/>
          <c:y val="6.78683531905451E-2"/>
          <c:w val="0.25245370370370368"/>
          <c:h val="0.38578725763571431"/>
        </c:manualLayout>
      </c:layout>
      <c:spPr>
        <a:ln>
          <a:solidFill>
            <a:sysClr val="windowText" lastClr="000000"/>
          </a:solidFill>
        </a:ln>
      </c:spPr>
      <c:txPr>
        <a:bodyPr/>
        <a:lstStyle/>
        <a:p>
          <a:pPr>
            <a:defRPr lang="en-SG"/>
          </a:pPr>
          <a:endParaRPr lang="en-US"/>
        </a:p>
      </c:txPr>
    </c:legend>
    <c:plotVisOnly val="1"/>
  </c:chart>
  <c:spPr>
    <a:ln w="19050">
      <a:solidFill>
        <a:sysClr val="windowText" lastClr="000000"/>
      </a:solid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2827737678623521"/>
          <c:y val="0.13645294338207831"/>
          <c:w val="0.62158373432488045"/>
          <c:h val="0.66731434080943952"/>
        </c:manualLayout>
      </c:layout>
      <c:lineChart>
        <c:grouping val="standard"/>
        <c:ser>
          <c:idx val="0"/>
          <c:order val="0"/>
          <c:tx>
            <c:strRef>
              <c:f>Sheet1!$C$37</c:f>
              <c:strCache>
                <c:ptCount val="1"/>
                <c:pt idx="0">
                  <c:v>Capital Adequacy Ratio (%)</c:v>
                </c:pt>
              </c:strCache>
            </c:strRef>
          </c:tx>
          <c:spPr>
            <a:ln>
              <a:solidFill>
                <a:sysClr val="windowText" lastClr="000000"/>
              </a:solidFill>
              <a:prstDash val="sysDash"/>
            </a:ln>
          </c:spPr>
          <c:marker>
            <c:spPr>
              <a:ln>
                <a:solidFill>
                  <a:sysClr val="windowText" lastClr="000000"/>
                </a:solidFill>
                <a:prstDash val="sysDash"/>
              </a:ln>
            </c:spPr>
          </c:marker>
          <c:cat>
            <c:strRef>
              <c:f>Sheet1!$D$36:$H$36</c:f>
              <c:strCache>
                <c:ptCount val="5"/>
                <c:pt idx="0">
                  <c:v>2062/063</c:v>
                </c:pt>
                <c:pt idx="1">
                  <c:v>2063/064</c:v>
                </c:pt>
                <c:pt idx="2">
                  <c:v>2064/065</c:v>
                </c:pt>
                <c:pt idx="3">
                  <c:v>2065/066</c:v>
                </c:pt>
                <c:pt idx="4">
                  <c:v>2066/067</c:v>
                </c:pt>
              </c:strCache>
            </c:strRef>
          </c:cat>
          <c:val>
            <c:numRef>
              <c:f>Sheet1!$D$37:$H$37</c:f>
              <c:numCache>
                <c:formatCode>General</c:formatCode>
                <c:ptCount val="5"/>
                <c:pt idx="0">
                  <c:v>12.79</c:v>
                </c:pt>
                <c:pt idx="1">
                  <c:v>11.97</c:v>
                </c:pt>
                <c:pt idx="2">
                  <c:v>12.29</c:v>
                </c:pt>
                <c:pt idx="3">
                  <c:v>11.84</c:v>
                </c:pt>
                <c:pt idx="4">
                  <c:v>11.25</c:v>
                </c:pt>
              </c:numCache>
            </c:numRef>
          </c:val>
        </c:ser>
        <c:ser>
          <c:idx val="1"/>
          <c:order val="1"/>
          <c:tx>
            <c:strRef>
              <c:f>Sheet1!$C$38</c:f>
              <c:strCache>
                <c:ptCount val="1"/>
                <c:pt idx="0">
                  <c:v>NRB Standard (%)</c:v>
                </c:pt>
              </c:strCache>
            </c:strRef>
          </c:tx>
          <c:spPr>
            <a:ln>
              <a:solidFill>
                <a:sysClr val="windowText" lastClr="000000"/>
              </a:solidFill>
            </a:ln>
          </c:spPr>
          <c:marker>
            <c:spPr>
              <a:solidFill>
                <a:schemeClr val="tx1"/>
              </a:solidFill>
              <a:ln>
                <a:solidFill>
                  <a:sysClr val="windowText" lastClr="000000"/>
                </a:solidFill>
              </a:ln>
            </c:spPr>
          </c:marker>
          <c:cat>
            <c:strRef>
              <c:f>Sheet1!$D$36:$H$36</c:f>
              <c:strCache>
                <c:ptCount val="5"/>
                <c:pt idx="0">
                  <c:v>2062/063</c:v>
                </c:pt>
                <c:pt idx="1">
                  <c:v>2063/064</c:v>
                </c:pt>
                <c:pt idx="2">
                  <c:v>2064/065</c:v>
                </c:pt>
                <c:pt idx="3">
                  <c:v>2065/066</c:v>
                </c:pt>
                <c:pt idx="4">
                  <c:v>2066/067</c:v>
                </c:pt>
              </c:strCache>
            </c:strRef>
          </c:cat>
          <c:val>
            <c:numRef>
              <c:f>Sheet1!$D$38:$H$38</c:f>
              <c:numCache>
                <c:formatCode>General</c:formatCode>
                <c:ptCount val="5"/>
                <c:pt idx="0">
                  <c:v>11</c:v>
                </c:pt>
                <c:pt idx="1">
                  <c:v>11</c:v>
                </c:pt>
                <c:pt idx="2">
                  <c:v>11</c:v>
                </c:pt>
                <c:pt idx="3">
                  <c:v>10</c:v>
                </c:pt>
                <c:pt idx="4">
                  <c:v>10</c:v>
                </c:pt>
              </c:numCache>
            </c:numRef>
          </c:val>
        </c:ser>
        <c:marker val="1"/>
        <c:axId val="103998592"/>
        <c:axId val="104000896"/>
      </c:lineChart>
      <c:catAx>
        <c:axId val="103998592"/>
        <c:scaling>
          <c:orientation val="minMax"/>
        </c:scaling>
        <c:axPos val="b"/>
        <c:title>
          <c:tx>
            <c:rich>
              <a:bodyPr/>
              <a:lstStyle/>
              <a:p>
                <a:pPr>
                  <a:defRPr lang="en-SG"/>
                </a:pPr>
                <a:r>
                  <a:rPr lang="en-US" sz="1400"/>
                  <a:t>Fiscal</a:t>
                </a:r>
                <a:r>
                  <a:rPr lang="en-US" sz="1400" baseline="0"/>
                  <a:t> Year </a:t>
                </a:r>
                <a:endParaRPr lang="en-US" sz="1400"/>
              </a:p>
            </c:rich>
          </c:tx>
        </c:title>
        <c:tickLblPos val="nextTo"/>
        <c:spPr>
          <a:ln>
            <a:solidFill>
              <a:sysClr val="windowText" lastClr="000000"/>
            </a:solidFill>
          </a:ln>
        </c:spPr>
        <c:txPr>
          <a:bodyPr/>
          <a:lstStyle/>
          <a:p>
            <a:pPr>
              <a:defRPr lang="en-SG"/>
            </a:pPr>
            <a:endParaRPr lang="en-US"/>
          </a:p>
        </c:txPr>
        <c:crossAx val="104000896"/>
        <c:crosses val="autoZero"/>
        <c:auto val="1"/>
        <c:lblAlgn val="ctr"/>
        <c:lblOffset val="100"/>
      </c:catAx>
      <c:valAx>
        <c:axId val="104000896"/>
        <c:scaling>
          <c:orientation val="minMax"/>
        </c:scaling>
        <c:axPos val="l"/>
        <c:title>
          <c:tx>
            <c:rich>
              <a:bodyPr rot="-5400000" vert="horz"/>
              <a:lstStyle/>
              <a:p>
                <a:pPr>
                  <a:defRPr lang="en-SG"/>
                </a:pPr>
                <a:r>
                  <a:rPr lang="en-US" sz="1200"/>
                  <a:t>Ratio (%)</a:t>
                </a:r>
              </a:p>
            </c:rich>
          </c:tx>
        </c:title>
        <c:numFmt formatCode="General" sourceLinked="1"/>
        <c:tickLblPos val="nextTo"/>
        <c:spPr>
          <a:ln>
            <a:solidFill>
              <a:sysClr val="windowText" lastClr="000000"/>
            </a:solidFill>
          </a:ln>
        </c:spPr>
        <c:txPr>
          <a:bodyPr/>
          <a:lstStyle/>
          <a:p>
            <a:pPr>
              <a:defRPr lang="en-SG"/>
            </a:pPr>
            <a:endParaRPr lang="en-US"/>
          </a:p>
        </c:txPr>
        <c:crossAx val="103998592"/>
        <c:crosses val="autoZero"/>
        <c:crossBetween val="between"/>
      </c:valAx>
    </c:plotArea>
    <c:legend>
      <c:legendPos val="r"/>
      <c:layout>
        <c:manualLayout>
          <c:xMode val="edge"/>
          <c:yMode val="edge"/>
          <c:x val="0.73365740740741259"/>
          <c:y val="6.78683531905451E-2"/>
          <c:w val="0.25245370370370368"/>
          <c:h val="0.20099247109682386"/>
        </c:manualLayout>
      </c:layout>
      <c:spPr>
        <a:ln>
          <a:solidFill>
            <a:sysClr val="windowText" lastClr="000000"/>
          </a:solidFill>
        </a:ln>
      </c:spPr>
      <c:txPr>
        <a:bodyPr/>
        <a:lstStyle/>
        <a:p>
          <a:pPr>
            <a:defRPr lang="en-SG"/>
          </a:pPr>
          <a:endParaRPr lang="en-US"/>
        </a:p>
      </c:txPr>
    </c:legend>
    <c:plotVisOnly val="1"/>
  </c:chart>
  <c:spPr>
    <a:ln w="19050">
      <a:solidFill>
        <a:sysClr val="windowText" lastClr="000000"/>
      </a:solid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2827737678623521"/>
          <c:y val="0.13645294338207836"/>
          <c:w val="0.62158373432488079"/>
          <c:h val="0.66731434080943952"/>
        </c:manualLayout>
      </c:layout>
      <c:lineChart>
        <c:grouping val="standard"/>
        <c:ser>
          <c:idx val="0"/>
          <c:order val="0"/>
          <c:tx>
            <c:strRef>
              <c:f>Sheet1!$D$54</c:f>
              <c:strCache>
                <c:ptCount val="1"/>
                <c:pt idx="0">
                  <c:v> Ratio of non -performing loan to Total Loan and Advances (%)</c:v>
                </c:pt>
              </c:strCache>
            </c:strRef>
          </c:tx>
          <c:spPr>
            <a:ln>
              <a:solidFill>
                <a:sysClr val="windowText" lastClr="000000"/>
              </a:solidFill>
              <a:prstDash val="solid"/>
            </a:ln>
          </c:spPr>
          <c:marker>
            <c:spPr>
              <a:ln>
                <a:solidFill>
                  <a:sysClr val="windowText" lastClr="000000"/>
                </a:solidFill>
                <a:prstDash val="solid"/>
              </a:ln>
            </c:spPr>
          </c:marker>
          <c:cat>
            <c:strRef>
              <c:f>Sheet1!$E$53:$I$53</c:f>
              <c:strCache>
                <c:ptCount val="5"/>
                <c:pt idx="0">
                  <c:v>2062/063</c:v>
                </c:pt>
                <c:pt idx="1">
                  <c:v>2063/064</c:v>
                </c:pt>
                <c:pt idx="2">
                  <c:v>2064/065</c:v>
                </c:pt>
                <c:pt idx="3">
                  <c:v>2065/066</c:v>
                </c:pt>
                <c:pt idx="4">
                  <c:v>2066/067</c:v>
                </c:pt>
              </c:strCache>
            </c:strRef>
          </c:cat>
          <c:val>
            <c:numRef>
              <c:f>Sheet1!$E$54:$I$54</c:f>
              <c:numCache>
                <c:formatCode>General</c:formatCode>
                <c:ptCount val="5"/>
                <c:pt idx="0">
                  <c:v>0.28000000000000008</c:v>
                </c:pt>
                <c:pt idx="1">
                  <c:v>1.1599999999999928</c:v>
                </c:pt>
                <c:pt idx="2">
                  <c:v>1.04</c:v>
                </c:pt>
                <c:pt idx="3">
                  <c:v>2.64</c:v>
                </c:pt>
                <c:pt idx="4">
                  <c:v>1.9200000000000021</c:v>
                </c:pt>
              </c:numCache>
            </c:numRef>
          </c:val>
        </c:ser>
        <c:marker val="1"/>
        <c:axId val="108650880"/>
        <c:axId val="108653184"/>
      </c:lineChart>
      <c:catAx>
        <c:axId val="108650880"/>
        <c:scaling>
          <c:orientation val="minMax"/>
        </c:scaling>
        <c:axPos val="b"/>
        <c:title>
          <c:tx>
            <c:rich>
              <a:bodyPr/>
              <a:lstStyle/>
              <a:p>
                <a:pPr>
                  <a:defRPr lang="en-SG"/>
                </a:pPr>
                <a:r>
                  <a:rPr lang="en-US" sz="1400"/>
                  <a:t>Fiscal</a:t>
                </a:r>
                <a:r>
                  <a:rPr lang="en-US" sz="1400" baseline="0"/>
                  <a:t> Year </a:t>
                </a:r>
                <a:endParaRPr lang="en-US" sz="1400"/>
              </a:p>
            </c:rich>
          </c:tx>
        </c:title>
        <c:tickLblPos val="nextTo"/>
        <c:spPr>
          <a:ln>
            <a:solidFill>
              <a:sysClr val="windowText" lastClr="000000"/>
            </a:solidFill>
          </a:ln>
        </c:spPr>
        <c:txPr>
          <a:bodyPr/>
          <a:lstStyle/>
          <a:p>
            <a:pPr>
              <a:defRPr lang="en-SG"/>
            </a:pPr>
            <a:endParaRPr lang="en-US"/>
          </a:p>
        </c:txPr>
        <c:crossAx val="108653184"/>
        <c:crosses val="autoZero"/>
        <c:auto val="1"/>
        <c:lblAlgn val="ctr"/>
        <c:lblOffset val="100"/>
      </c:catAx>
      <c:valAx>
        <c:axId val="108653184"/>
        <c:scaling>
          <c:orientation val="minMax"/>
        </c:scaling>
        <c:axPos val="l"/>
        <c:title>
          <c:tx>
            <c:rich>
              <a:bodyPr rot="-5400000" vert="horz"/>
              <a:lstStyle/>
              <a:p>
                <a:pPr>
                  <a:defRPr lang="en-SG"/>
                </a:pPr>
                <a:r>
                  <a:rPr lang="en-US" sz="1200"/>
                  <a:t>Ratio (%)</a:t>
                </a:r>
              </a:p>
            </c:rich>
          </c:tx>
        </c:title>
        <c:numFmt formatCode="General" sourceLinked="1"/>
        <c:tickLblPos val="nextTo"/>
        <c:spPr>
          <a:ln>
            <a:solidFill>
              <a:sysClr val="windowText" lastClr="000000"/>
            </a:solidFill>
          </a:ln>
        </c:spPr>
        <c:txPr>
          <a:bodyPr/>
          <a:lstStyle/>
          <a:p>
            <a:pPr>
              <a:defRPr lang="en-SG"/>
            </a:pPr>
            <a:endParaRPr lang="en-US"/>
          </a:p>
        </c:txPr>
        <c:crossAx val="108650880"/>
        <c:crosses val="autoZero"/>
        <c:crossBetween val="between"/>
      </c:valAx>
    </c:plotArea>
    <c:legend>
      <c:legendPos val="r"/>
      <c:layout>
        <c:manualLayout>
          <c:xMode val="edge"/>
          <c:yMode val="edge"/>
          <c:x val="0.72530990492237335"/>
          <c:y val="0.13166405307849074"/>
          <c:w val="0.25784089541461253"/>
          <c:h val="0.22332222439004518"/>
        </c:manualLayout>
      </c:layout>
      <c:spPr>
        <a:ln>
          <a:solidFill>
            <a:sysClr val="windowText" lastClr="000000"/>
          </a:solidFill>
        </a:ln>
      </c:spPr>
      <c:txPr>
        <a:bodyPr/>
        <a:lstStyle/>
        <a:p>
          <a:pPr>
            <a:defRPr lang="en-SG"/>
          </a:pPr>
          <a:endParaRPr lang="en-US"/>
        </a:p>
      </c:txPr>
    </c:legend>
    <c:plotVisOnly val="1"/>
  </c:chart>
  <c:spPr>
    <a:ln w="19050">
      <a:solidFill>
        <a:sysClr val="windowText" lastClr="000000"/>
      </a:solid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2827737678623521"/>
          <c:y val="0.13645294338207842"/>
          <c:w val="0.62158373432488101"/>
          <c:h val="0.66731434080943952"/>
        </c:manualLayout>
      </c:layout>
      <c:lineChart>
        <c:grouping val="standard"/>
        <c:ser>
          <c:idx val="0"/>
          <c:order val="0"/>
          <c:tx>
            <c:strRef>
              <c:f>Sheet1!$D$71</c:f>
              <c:strCache>
                <c:ptCount val="1"/>
                <c:pt idx="0">
                  <c:v> Loan Loss Ratio (%)</c:v>
                </c:pt>
              </c:strCache>
            </c:strRef>
          </c:tx>
          <c:spPr>
            <a:ln>
              <a:solidFill>
                <a:sysClr val="windowText" lastClr="000000"/>
              </a:solidFill>
              <a:prstDash val="solid"/>
            </a:ln>
          </c:spPr>
          <c:marker>
            <c:spPr>
              <a:ln>
                <a:solidFill>
                  <a:sysClr val="windowText" lastClr="000000"/>
                </a:solidFill>
                <a:prstDash val="solid"/>
              </a:ln>
            </c:spPr>
          </c:marker>
          <c:cat>
            <c:strRef>
              <c:f>Sheet1!$E$70:$I$70</c:f>
              <c:strCache>
                <c:ptCount val="5"/>
                <c:pt idx="0">
                  <c:v>2062/063</c:v>
                </c:pt>
                <c:pt idx="1">
                  <c:v>2063/064</c:v>
                </c:pt>
                <c:pt idx="2">
                  <c:v>2064/065</c:v>
                </c:pt>
                <c:pt idx="3">
                  <c:v>2065/066</c:v>
                </c:pt>
                <c:pt idx="4">
                  <c:v>2066/067</c:v>
                </c:pt>
              </c:strCache>
            </c:strRef>
          </c:cat>
          <c:val>
            <c:numRef>
              <c:f>Sheet1!$E$71:$I$71</c:f>
              <c:numCache>
                <c:formatCode>General</c:formatCode>
                <c:ptCount val="5"/>
                <c:pt idx="0">
                  <c:v>1.26</c:v>
                </c:pt>
                <c:pt idx="1">
                  <c:v>3.13</c:v>
                </c:pt>
                <c:pt idx="2">
                  <c:v>2.94</c:v>
                </c:pt>
                <c:pt idx="3">
                  <c:v>3.98</c:v>
                </c:pt>
                <c:pt idx="4">
                  <c:v>5.6599999999999975</c:v>
                </c:pt>
              </c:numCache>
            </c:numRef>
          </c:val>
        </c:ser>
        <c:marker val="1"/>
        <c:axId val="113953024"/>
        <c:axId val="113967488"/>
      </c:lineChart>
      <c:catAx>
        <c:axId val="113953024"/>
        <c:scaling>
          <c:orientation val="minMax"/>
        </c:scaling>
        <c:axPos val="b"/>
        <c:title>
          <c:tx>
            <c:rich>
              <a:bodyPr/>
              <a:lstStyle/>
              <a:p>
                <a:pPr>
                  <a:defRPr lang="en-SG"/>
                </a:pPr>
                <a:r>
                  <a:rPr lang="en-US" sz="1400"/>
                  <a:t>Fiscal</a:t>
                </a:r>
                <a:r>
                  <a:rPr lang="en-US" sz="1400" baseline="0"/>
                  <a:t> Year </a:t>
                </a:r>
                <a:endParaRPr lang="en-US" sz="1400"/>
              </a:p>
            </c:rich>
          </c:tx>
        </c:title>
        <c:tickLblPos val="nextTo"/>
        <c:spPr>
          <a:ln>
            <a:solidFill>
              <a:sysClr val="windowText" lastClr="000000"/>
            </a:solidFill>
          </a:ln>
        </c:spPr>
        <c:txPr>
          <a:bodyPr/>
          <a:lstStyle/>
          <a:p>
            <a:pPr>
              <a:defRPr lang="en-SG"/>
            </a:pPr>
            <a:endParaRPr lang="en-US"/>
          </a:p>
        </c:txPr>
        <c:crossAx val="113967488"/>
        <c:crosses val="autoZero"/>
        <c:auto val="1"/>
        <c:lblAlgn val="ctr"/>
        <c:lblOffset val="100"/>
      </c:catAx>
      <c:valAx>
        <c:axId val="113967488"/>
        <c:scaling>
          <c:orientation val="minMax"/>
        </c:scaling>
        <c:axPos val="l"/>
        <c:title>
          <c:tx>
            <c:rich>
              <a:bodyPr rot="-5400000" vert="horz"/>
              <a:lstStyle/>
              <a:p>
                <a:pPr>
                  <a:defRPr lang="en-SG"/>
                </a:pPr>
                <a:r>
                  <a:rPr lang="en-US" sz="1200"/>
                  <a:t>Ratio (%)</a:t>
                </a:r>
              </a:p>
            </c:rich>
          </c:tx>
        </c:title>
        <c:numFmt formatCode="General" sourceLinked="1"/>
        <c:tickLblPos val="nextTo"/>
        <c:spPr>
          <a:ln>
            <a:solidFill>
              <a:sysClr val="windowText" lastClr="000000"/>
            </a:solidFill>
          </a:ln>
        </c:spPr>
        <c:txPr>
          <a:bodyPr/>
          <a:lstStyle/>
          <a:p>
            <a:pPr>
              <a:defRPr lang="en-SG"/>
            </a:pPr>
            <a:endParaRPr lang="en-US"/>
          </a:p>
        </c:txPr>
        <c:crossAx val="113953024"/>
        <c:crosses val="autoZero"/>
        <c:crossBetween val="between"/>
      </c:valAx>
    </c:plotArea>
    <c:legend>
      <c:legendPos val="r"/>
      <c:layout>
        <c:manualLayout>
          <c:xMode val="edge"/>
          <c:yMode val="edge"/>
          <c:x val="0.73365740740741314"/>
          <c:y val="6.78683531905451E-2"/>
          <c:w val="0.25245370370370368"/>
          <c:h val="0.1023582256299595"/>
        </c:manualLayout>
      </c:layout>
      <c:spPr>
        <a:ln>
          <a:solidFill>
            <a:sysClr val="windowText" lastClr="000000"/>
          </a:solidFill>
        </a:ln>
      </c:spPr>
      <c:txPr>
        <a:bodyPr/>
        <a:lstStyle/>
        <a:p>
          <a:pPr>
            <a:defRPr lang="en-SG"/>
          </a:pPr>
          <a:endParaRPr lang="en-US"/>
        </a:p>
      </c:txPr>
    </c:legend>
    <c:plotVisOnly val="1"/>
  </c:chart>
  <c:spPr>
    <a:ln w="19050">
      <a:solidFill>
        <a:sysClr val="windowText" lastClr="000000"/>
      </a:solid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2827737678623521"/>
          <c:y val="0.13645294338207847"/>
          <c:w val="0.62158373432488123"/>
          <c:h val="0.66731434080943952"/>
        </c:manualLayout>
      </c:layout>
      <c:lineChart>
        <c:grouping val="standard"/>
        <c:ser>
          <c:idx val="0"/>
          <c:order val="0"/>
          <c:tx>
            <c:strRef>
              <c:f>Sheet1!$D$85</c:f>
              <c:strCache>
                <c:ptCount val="1"/>
                <c:pt idx="0">
                  <c:v> Total Expenses to Total Income Ratio (%) </c:v>
                </c:pt>
              </c:strCache>
            </c:strRef>
          </c:tx>
          <c:spPr>
            <a:ln>
              <a:solidFill>
                <a:sysClr val="windowText" lastClr="000000"/>
              </a:solidFill>
              <a:prstDash val="solid"/>
            </a:ln>
          </c:spPr>
          <c:marker>
            <c:spPr>
              <a:ln>
                <a:solidFill>
                  <a:sysClr val="windowText" lastClr="000000"/>
                </a:solidFill>
                <a:prstDash val="solid"/>
              </a:ln>
            </c:spPr>
          </c:marker>
          <c:cat>
            <c:strRef>
              <c:f>Sheet1!$E$84:$I$84</c:f>
              <c:strCache>
                <c:ptCount val="5"/>
                <c:pt idx="0">
                  <c:v>2062/063</c:v>
                </c:pt>
                <c:pt idx="1">
                  <c:v>2063/064</c:v>
                </c:pt>
                <c:pt idx="2">
                  <c:v>2064/065</c:v>
                </c:pt>
                <c:pt idx="3">
                  <c:v>2065/066</c:v>
                </c:pt>
                <c:pt idx="4">
                  <c:v>2066/067</c:v>
                </c:pt>
              </c:strCache>
            </c:strRef>
          </c:cat>
          <c:val>
            <c:numRef>
              <c:f>Sheet1!$E$85:$I$85</c:f>
              <c:numCache>
                <c:formatCode>General</c:formatCode>
                <c:ptCount val="5"/>
                <c:pt idx="0">
                  <c:v>74.940000000000026</c:v>
                </c:pt>
                <c:pt idx="1">
                  <c:v>73.22</c:v>
                </c:pt>
                <c:pt idx="2">
                  <c:v>73.92</c:v>
                </c:pt>
                <c:pt idx="3">
                  <c:v>75.03</c:v>
                </c:pt>
                <c:pt idx="4">
                  <c:v>82.4</c:v>
                </c:pt>
              </c:numCache>
            </c:numRef>
          </c:val>
        </c:ser>
        <c:marker val="1"/>
        <c:axId val="114899584"/>
        <c:axId val="22238336"/>
      </c:lineChart>
      <c:catAx>
        <c:axId val="114899584"/>
        <c:scaling>
          <c:orientation val="minMax"/>
        </c:scaling>
        <c:axPos val="b"/>
        <c:title>
          <c:tx>
            <c:rich>
              <a:bodyPr/>
              <a:lstStyle/>
              <a:p>
                <a:pPr>
                  <a:defRPr lang="en-SG"/>
                </a:pPr>
                <a:r>
                  <a:rPr lang="en-US" sz="1400"/>
                  <a:t>Fiscal</a:t>
                </a:r>
                <a:r>
                  <a:rPr lang="en-US" sz="1400" baseline="0"/>
                  <a:t> Year </a:t>
                </a:r>
                <a:endParaRPr lang="en-US" sz="1400"/>
              </a:p>
            </c:rich>
          </c:tx>
        </c:title>
        <c:tickLblPos val="nextTo"/>
        <c:spPr>
          <a:ln>
            <a:solidFill>
              <a:sysClr val="windowText" lastClr="000000"/>
            </a:solidFill>
          </a:ln>
        </c:spPr>
        <c:txPr>
          <a:bodyPr/>
          <a:lstStyle/>
          <a:p>
            <a:pPr>
              <a:defRPr lang="en-SG"/>
            </a:pPr>
            <a:endParaRPr lang="en-US"/>
          </a:p>
        </c:txPr>
        <c:crossAx val="22238336"/>
        <c:crosses val="autoZero"/>
        <c:auto val="1"/>
        <c:lblAlgn val="ctr"/>
        <c:lblOffset val="100"/>
      </c:catAx>
      <c:valAx>
        <c:axId val="22238336"/>
        <c:scaling>
          <c:orientation val="minMax"/>
        </c:scaling>
        <c:axPos val="l"/>
        <c:title>
          <c:tx>
            <c:rich>
              <a:bodyPr rot="-5400000" vert="horz"/>
              <a:lstStyle/>
              <a:p>
                <a:pPr>
                  <a:defRPr lang="en-SG"/>
                </a:pPr>
                <a:r>
                  <a:rPr lang="en-US" sz="1200"/>
                  <a:t>Ratio (%)</a:t>
                </a:r>
              </a:p>
            </c:rich>
          </c:tx>
        </c:title>
        <c:numFmt formatCode="General" sourceLinked="1"/>
        <c:tickLblPos val="nextTo"/>
        <c:spPr>
          <a:ln>
            <a:solidFill>
              <a:sysClr val="windowText" lastClr="000000"/>
            </a:solidFill>
          </a:ln>
        </c:spPr>
        <c:txPr>
          <a:bodyPr/>
          <a:lstStyle/>
          <a:p>
            <a:pPr>
              <a:defRPr lang="en-SG"/>
            </a:pPr>
            <a:endParaRPr lang="en-US"/>
          </a:p>
        </c:txPr>
        <c:crossAx val="114899584"/>
        <c:crosses val="autoZero"/>
        <c:crossBetween val="between"/>
      </c:valAx>
    </c:plotArea>
    <c:legend>
      <c:legendPos val="r"/>
      <c:layout>
        <c:manualLayout>
          <c:xMode val="edge"/>
          <c:yMode val="edge"/>
          <c:x val="0.73365740740741336"/>
          <c:y val="6.78683531905451E-2"/>
          <c:w val="0.25245370370370368"/>
          <c:h val="0.19176541707796851"/>
        </c:manualLayout>
      </c:layout>
      <c:spPr>
        <a:ln>
          <a:solidFill>
            <a:sysClr val="windowText" lastClr="000000"/>
          </a:solidFill>
        </a:ln>
      </c:spPr>
      <c:txPr>
        <a:bodyPr/>
        <a:lstStyle/>
        <a:p>
          <a:pPr>
            <a:defRPr lang="en-SG"/>
          </a:pPr>
          <a:endParaRPr lang="en-US"/>
        </a:p>
      </c:txPr>
    </c:legend>
    <c:plotVisOnly val="1"/>
  </c:chart>
  <c:spPr>
    <a:ln w="19050">
      <a:solidFill>
        <a:sysClr val="windowText" lastClr="000000"/>
      </a:solid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6762922863808583"/>
          <c:y val="0.13645294338207817"/>
          <c:w val="0.62158373432488145"/>
          <c:h val="0.66731434080943952"/>
        </c:manualLayout>
      </c:layout>
      <c:lineChart>
        <c:grouping val="standard"/>
        <c:ser>
          <c:idx val="0"/>
          <c:order val="0"/>
          <c:tx>
            <c:strRef>
              <c:f>Sheet1!$C$107</c:f>
              <c:strCache>
                <c:ptCount val="1"/>
                <c:pt idx="0">
                  <c:v>Earning per Employee (Rs)</c:v>
                </c:pt>
              </c:strCache>
            </c:strRef>
          </c:tx>
          <c:spPr>
            <a:ln>
              <a:solidFill>
                <a:sysClr val="windowText" lastClr="000000"/>
              </a:solidFill>
              <a:prstDash val="solid"/>
            </a:ln>
          </c:spPr>
          <c:marker>
            <c:spPr>
              <a:ln>
                <a:solidFill>
                  <a:sysClr val="windowText" lastClr="000000"/>
                </a:solidFill>
                <a:prstDash val="solid"/>
              </a:ln>
            </c:spPr>
          </c:marker>
          <c:cat>
            <c:strRef>
              <c:f>Sheet1!$D$106:$H$106</c:f>
              <c:strCache>
                <c:ptCount val="5"/>
                <c:pt idx="0">
                  <c:v>2062/063</c:v>
                </c:pt>
                <c:pt idx="1">
                  <c:v>2063/064</c:v>
                </c:pt>
                <c:pt idx="2">
                  <c:v>2064/065</c:v>
                </c:pt>
                <c:pt idx="3">
                  <c:v>2065/066</c:v>
                </c:pt>
                <c:pt idx="4">
                  <c:v>2066/067</c:v>
                </c:pt>
              </c:strCache>
            </c:strRef>
          </c:cat>
          <c:val>
            <c:numRef>
              <c:f>Sheet1!$D$107:$H$107</c:f>
              <c:numCache>
                <c:formatCode>General</c:formatCode>
                <c:ptCount val="5"/>
                <c:pt idx="0">
                  <c:v>683656.68099999696</c:v>
                </c:pt>
                <c:pt idx="1">
                  <c:v>328201.962</c:v>
                </c:pt>
                <c:pt idx="2">
                  <c:v>271616.62</c:v>
                </c:pt>
                <c:pt idx="3">
                  <c:v>280754.21000000002</c:v>
                </c:pt>
                <c:pt idx="4">
                  <c:v>149009.75399999999</c:v>
                </c:pt>
              </c:numCache>
            </c:numRef>
          </c:val>
        </c:ser>
        <c:marker val="1"/>
        <c:axId val="44396928"/>
        <c:axId val="44399232"/>
      </c:lineChart>
      <c:catAx>
        <c:axId val="44396928"/>
        <c:scaling>
          <c:orientation val="minMax"/>
        </c:scaling>
        <c:axPos val="b"/>
        <c:title>
          <c:tx>
            <c:rich>
              <a:bodyPr/>
              <a:lstStyle/>
              <a:p>
                <a:pPr>
                  <a:defRPr lang="en-SG"/>
                </a:pPr>
                <a:r>
                  <a:rPr lang="en-US" sz="1400"/>
                  <a:t>Fiscal</a:t>
                </a:r>
                <a:r>
                  <a:rPr lang="en-US" sz="1400" baseline="0"/>
                  <a:t> Year </a:t>
                </a:r>
                <a:endParaRPr lang="en-US" sz="1400"/>
              </a:p>
            </c:rich>
          </c:tx>
        </c:title>
        <c:tickLblPos val="nextTo"/>
        <c:spPr>
          <a:ln>
            <a:solidFill>
              <a:sysClr val="windowText" lastClr="000000"/>
            </a:solidFill>
          </a:ln>
        </c:spPr>
        <c:txPr>
          <a:bodyPr/>
          <a:lstStyle/>
          <a:p>
            <a:pPr>
              <a:defRPr lang="en-SG"/>
            </a:pPr>
            <a:endParaRPr lang="en-US"/>
          </a:p>
        </c:txPr>
        <c:crossAx val="44399232"/>
        <c:crosses val="autoZero"/>
        <c:auto val="1"/>
        <c:lblAlgn val="ctr"/>
        <c:lblOffset val="100"/>
      </c:catAx>
      <c:valAx>
        <c:axId val="44399232"/>
        <c:scaling>
          <c:orientation val="minMax"/>
        </c:scaling>
        <c:axPos val="l"/>
        <c:title>
          <c:tx>
            <c:rich>
              <a:bodyPr rot="-5400000" vert="horz"/>
              <a:lstStyle/>
              <a:p>
                <a:pPr>
                  <a:defRPr lang="en-SG"/>
                </a:pPr>
                <a:r>
                  <a:rPr lang="en-US" sz="1200"/>
                  <a:t>Ratio (%)</a:t>
                </a:r>
              </a:p>
            </c:rich>
          </c:tx>
        </c:title>
        <c:numFmt formatCode="General" sourceLinked="1"/>
        <c:tickLblPos val="nextTo"/>
        <c:spPr>
          <a:ln>
            <a:solidFill>
              <a:sysClr val="windowText" lastClr="000000"/>
            </a:solidFill>
          </a:ln>
        </c:spPr>
        <c:txPr>
          <a:bodyPr/>
          <a:lstStyle/>
          <a:p>
            <a:pPr>
              <a:defRPr lang="en-SG"/>
            </a:pPr>
            <a:endParaRPr lang="en-US"/>
          </a:p>
        </c:txPr>
        <c:crossAx val="44396928"/>
        <c:crosses val="autoZero"/>
        <c:crossBetween val="between"/>
      </c:valAx>
    </c:plotArea>
    <c:legend>
      <c:legendPos val="r"/>
      <c:layout>
        <c:manualLayout>
          <c:xMode val="edge"/>
          <c:yMode val="edge"/>
          <c:x val="0.73365740740741381"/>
          <c:y val="6.78683531905451E-2"/>
          <c:w val="0.25245370370370368"/>
          <c:h val="0.19176541707796857"/>
        </c:manualLayout>
      </c:layout>
      <c:spPr>
        <a:ln>
          <a:solidFill>
            <a:sysClr val="windowText" lastClr="000000"/>
          </a:solidFill>
        </a:ln>
      </c:spPr>
      <c:txPr>
        <a:bodyPr/>
        <a:lstStyle/>
        <a:p>
          <a:pPr>
            <a:defRPr lang="en-SG"/>
          </a:pPr>
          <a:endParaRPr lang="en-US"/>
        </a:p>
      </c:txPr>
    </c:legend>
    <c:plotVisOnly val="1"/>
  </c:chart>
  <c:spPr>
    <a:ln w="19050">
      <a:solidFill>
        <a:sysClr val="windowText" lastClr="000000"/>
      </a:solid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7003628548116587"/>
          <c:y val="0.13645285531458065"/>
          <c:w val="0.62158373432488223"/>
          <c:h val="0.66731434080943952"/>
        </c:manualLayout>
      </c:layout>
      <c:lineChart>
        <c:grouping val="standard"/>
        <c:ser>
          <c:idx val="0"/>
          <c:order val="0"/>
          <c:tx>
            <c:strRef>
              <c:f>Sheet1!$D$146</c:f>
              <c:strCache>
                <c:ptCount val="1"/>
                <c:pt idx="0">
                  <c:v> Return of Assets (%) </c:v>
                </c:pt>
              </c:strCache>
            </c:strRef>
          </c:tx>
          <c:spPr>
            <a:ln>
              <a:solidFill>
                <a:sysClr val="windowText" lastClr="000000"/>
              </a:solidFill>
              <a:prstDash val="solid"/>
            </a:ln>
          </c:spPr>
          <c:marker>
            <c:spPr>
              <a:ln>
                <a:solidFill>
                  <a:sysClr val="windowText" lastClr="000000"/>
                </a:solidFill>
                <a:prstDash val="solid"/>
              </a:ln>
            </c:spPr>
          </c:marker>
          <c:cat>
            <c:strRef>
              <c:f>Sheet1!$E$145:$I$145</c:f>
              <c:strCache>
                <c:ptCount val="5"/>
                <c:pt idx="0">
                  <c:v>2062/063</c:v>
                </c:pt>
                <c:pt idx="1">
                  <c:v>2063/064</c:v>
                </c:pt>
                <c:pt idx="2">
                  <c:v>2064/065</c:v>
                </c:pt>
                <c:pt idx="3">
                  <c:v>2065/066</c:v>
                </c:pt>
                <c:pt idx="4">
                  <c:v>2066/067</c:v>
                </c:pt>
              </c:strCache>
            </c:strRef>
          </c:cat>
          <c:val>
            <c:numRef>
              <c:f>Sheet1!$E$146:$I$146</c:f>
              <c:numCache>
                <c:formatCode>General</c:formatCode>
                <c:ptCount val="5"/>
                <c:pt idx="0">
                  <c:v>1.48</c:v>
                </c:pt>
                <c:pt idx="1">
                  <c:v>0.71000000000000063</c:v>
                </c:pt>
                <c:pt idx="2">
                  <c:v>0.68</c:v>
                </c:pt>
                <c:pt idx="3">
                  <c:v>0.70000000000000062</c:v>
                </c:pt>
                <c:pt idx="4">
                  <c:v>0.35000000000000031</c:v>
                </c:pt>
              </c:numCache>
            </c:numRef>
          </c:val>
        </c:ser>
        <c:marker val="1"/>
        <c:axId val="44455808"/>
        <c:axId val="44462464"/>
      </c:lineChart>
      <c:catAx>
        <c:axId val="44455808"/>
        <c:scaling>
          <c:orientation val="minMax"/>
        </c:scaling>
        <c:axPos val="b"/>
        <c:title>
          <c:tx>
            <c:rich>
              <a:bodyPr/>
              <a:lstStyle/>
              <a:p>
                <a:pPr>
                  <a:defRPr lang="en-SG"/>
                </a:pPr>
                <a:r>
                  <a:rPr lang="en-US" sz="1400"/>
                  <a:t>Fiscal</a:t>
                </a:r>
                <a:r>
                  <a:rPr lang="en-US" sz="1400" baseline="0"/>
                  <a:t> Year </a:t>
                </a:r>
                <a:endParaRPr lang="en-US" sz="1400"/>
              </a:p>
            </c:rich>
          </c:tx>
        </c:title>
        <c:numFmt formatCode="General" sourceLinked="1"/>
        <c:tickLblPos val="nextTo"/>
        <c:spPr>
          <a:ln>
            <a:solidFill>
              <a:sysClr val="windowText" lastClr="000000"/>
            </a:solidFill>
          </a:ln>
        </c:spPr>
        <c:txPr>
          <a:bodyPr/>
          <a:lstStyle/>
          <a:p>
            <a:pPr>
              <a:defRPr lang="en-SG"/>
            </a:pPr>
            <a:endParaRPr lang="en-US"/>
          </a:p>
        </c:txPr>
        <c:crossAx val="44462464"/>
        <c:crosses val="autoZero"/>
        <c:auto val="1"/>
        <c:lblAlgn val="ctr"/>
        <c:lblOffset val="100"/>
      </c:catAx>
      <c:valAx>
        <c:axId val="44462464"/>
        <c:scaling>
          <c:orientation val="minMax"/>
        </c:scaling>
        <c:axPos val="l"/>
        <c:title>
          <c:tx>
            <c:rich>
              <a:bodyPr rot="-5400000" vert="horz"/>
              <a:lstStyle/>
              <a:p>
                <a:pPr>
                  <a:defRPr lang="en-SG"/>
                </a:pPr>
                <a:r>
                  <a:rPr lang="en-US" sz="1200"/>
                  <a:t>Ratio (%)</a:t>
                </a:r>
              </a:p>
            </c:rich>
          </c:tx>
        </c:title>
        <c:numFmt formatCode="General" sourceLinked="1"/>
        <c:tickLblPos val="nextTo"/>
        <c:spPr>
          <a:ln>
            <a:solidFill>
              <a:sysClr val="windowText" lastClr="000000"/>
            </a:solidFill>
          </a:ln>
        </c:spPr>
        <c:txPr>
          <a:bodyPr/>
          <a:lstStyle/>
          <a:p>
            <a:pPr>
              <a:defRPr lang="en-SG"/>
            </a:pPr>
            <a:endParaRPr lang="en-US"/>
          </a:p>
        </c:txPr>
        <c:crossAx val="44455808"/>
        <c:crosses val="autoZero"/>
        <c:crossBetween val="between"/>
      </c:valAx>
    </c:plotArea>
    <c:legend>
      <c:legendPos val="r"/>
      <c:layout>
        <c:manualLayout>
          <c:xMode val="edge"/>
          <c:yMode val="edge"/>
          <c:x val="0.73365740740741459"/>
          <c:y val="6.78683531905451E-2"/>
          <c:w val="0.25245370370370368"/>
          <c:h val="0.16751259503366261"/>
        </c:manualLayout>
      </c:layout>
      <c:spPr>
        <a:ln>
          <a:solidFill>
            <a:sysClr val="windowText" lastClr="000000"/>
          </a:solidFill>
        </a:ln>
      </c:spPr>
      <c:txPr>
        <a:bodyPr/>
        <a:lstStyle/>
        <a:p>
          <a:pPr>
            <a:defRPr lang="en-SG"/>
          </a:pPr>
          <a:endParaRPr lang="en-US"/>
        </a:p>
      </c:txPr>
    </c:legend>
    <c:plotVisOnly val="1"/>
  </c:chart>
  <c:spPr>
    <a:ln w="19050">
      <a:solidFill>
        <a:sysClr val="windowText" lastClr="000000"/>
      </a:solid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6762922863808577"/>
          <c:y val="0.13645294338207825"/>
          <c:w val="0.62158373432488179"/>
          <c:h val="0.66731434080943952"/>
        </c:manualLayout>
      </c:layout>
      <c:lineChart>
        <c:grouping val="standard"/>
        <c:ser>
          <c:idx val="0"/>
          <c:order val="0"/>
          <c:tx>
            <c:strRef>
              <c:f>Sheet1!$D$127</c:f>
              <c:strCache>
                <c:ptCount val="1"/>
                <c:pt idx="0">
                  <c:v> Return on Equity (%) </c:v>
                </c:pt>
              </c:strCache>
            </c:strRef>
          </c:tx>
          <c:spPr>
            <a:ln>
              <a:solidFill>
                <a:sysClr val="windowText" lastClr="000000"/>
              </a:solidFill>
              <a:prstDash val="solid"/>
            </a:ln>
          </c:spPr>
          <c:marker>
            <c:spPr>
              <a:ln>
                <a:solidFill>
                  <a:sysClr val="windowText" lastClr="000000"/>
                </a:solidFill>
                <a:prstDash val="solid"/>
              </a:ln>
            </c:spPr>
          </c:marker>
          <c:cat>
            <c:strRef>
              <c:f>Sheet1!$E$126:$I$126</c:f>
              <c:strCache>
                <c:ptCount val="5"/>
                <c:pt idx="0">
                  <c:v>2062/063</c:v>
                </c:pt>
                <c:pt idx="1">
                  <c:v>2063/064</c:v>
                </c:pt>
                <c:pt idx="2">
                  <c:v>2064/065</c:v>
                </c:pt>
                <c:pt idx="3">
                  <c:v>2065/066</c:v>
                </c:pt>
                <c:pt idx="4">
                  <c:v>2066/067</c:v>
                </c:pt>
              </c:strCache>
            </c:strRef>
          </c:cat>
          <c:val>
            <c:numRef>
              <c:f>Sheet1!$E$127:$I$127</c:f>
              <c:numCache>
                <c:formatCode>General</c:formatCode>
                <c:ptCount val="5"/>
                <c:pt idx="0">
                  <c:v>14.39</c:v>
                </c:pt>
                <c:pt idx="1">
                  <c:v>7.6199999999999966</c:v>
                </c:pt>
                <c:pt idx="2">
                  <c:v>7.31</c:v>
                </c:pt>
                <c:pt idx="3">
                  <c:v>7.25</c:v>
                </c:pt>
                <c:pt idx="4">
                  <c:v>4.13</c:v>
                </c:pt>
              </c:numCache>
            </c:numRef>
          </c:val>
        </c:ser>
        <c:marker val="1"/>
        <c:axId val="44494208"/>
        <c:axId val="44771200"/>
      </c:lineChart>
      <c:catAx>
        <c:axId val="44494208"/>
        <c:scaling>
          <c:orientation val="minMax"/>
        </c:scaling>
        <c:axPos val="b"/>
        <c:title>
          <c:tx>
            <c:rich>
              <a:bodyPr/>
              <a:lstStyle/>
              <a:p>
                <a:pPr>
                  <a:defRPr lang="en-SG"/>
                </a:pPr>
                <a:r>
                  <a:rPr lang="en-US" sz="1400"/>
                  <a:t>Fiscal</a:t>
                </a:r>
                <a:r>
                  <a:rPr lang="en-US" sz="1400" baseline="0"/>
                  <a:t> Year </a:t>
                </a:r>
                <a:endParaRPr lang="en-US" sz="1400"/>
              </a:p>
            </c:rich>
          </c:tx>
        </c:title>
        <c:tickLblPos val="nextTo"/>
        <c:spPr>
          <a:ln>
            <a:solidFill>
              <a:sysClr val="windowText" lastClr="000000"/>
            </a:solidFill>
          </a:ln>
        </c:spPr>
        <c:txPr>
          <a:bodyPr/>
          <a:lstStyle/>
          <a:p>
            <a:pPr>
              <a:defRPr lang="en-SG"/>
            </a:pPr>
            <a:endParaRPr lang="en-US"/>
          </a:p>
        </c:txPr>
        <c:crossAx val="44771200"/>
        <c:crosses val="autoZero"/>
        <c:auto val="1"/>
        <c:lblAlgn val="ctr"/>
        <c:lblOffset val="100"/>
      </c:catAx>
      <c:valAx>
        <c:axId val="44771200"/>
        <c:scaling>
          <c:orientation val="minMax"/>
        </c:scaling>
        <c:axPos val="l"/>
        <c:title>
          <c:tx>
            <c:rich>
              <a:bodyPr rot="-5400000" vert="horz"/>
              <a:lstStyle/>
              <a:p>
                <a:pPr>
                  <a:defRPr lang="en-SG"/>
                </a:pPr>
                <a:r>
                  <a:rPr lang="en-US" sz="1200"/>
                  <a:t>Ratio (%)</a:t>
                </a:r>
              </a:p>
            </c:rich>
          </c:tx>
        </c:title>
        <c:numFmt formatCode="General" sourceLinked="1"/>
        <c:tickLblPos val="nextTo"/>
        <c:spPr>
          <a:ln>
            <a:solidFill>
              <a:sysClr val="windowText" lastClr="000000"/>
            </a:solidFill>
          </a:ln>
        </c:spPr>
        <c:txPr>
          <a:bodyPr/>
          <a:lstStyle/>
          <a:p>
            <a:pPr>
              <a:defRPr lang="en-SG"/>
            </a:pPr>
            <a:endParaRPr lang="en-US"/>
          </a:p>
        </c:txPr>
        <c:crossAx val="44494208"/>
        <c:crosses val="autoZero"/>
        <c:crossBetween val="between"/>
      </c:valAx>
    </c:plotArea>
    <c:legend>
      <c:legendPos val="r"/>
      <c:layout>
        <c:manualLayout>
          <c:xMode val="edge"/>
          <c:yMode val="edge"/>
          <c:x val="0.73365740740741403"/>
          <c:y val="6.78683531905451E-2"/>
          <c:w val="0.25245370370370368"/>
          <c:h val="0.19176541707796868"/>
        </c:manualLayout>
      </c:layout>
      <c:spPr>
        <a:ln>
          <a:solidFill>
            <a:sysClr val="windowText" lastClr="000000"/>
          </a:solidFill>
        </a:ln>
      </c:spPr>
      <c:txPr>
        <a:bodyPr/>
        <a:lstStyle/>
        <a:p>
          <a:pPr>
            <a:defRPr lang="en-SG"/>
          </a:pPr>
          <a:endParaRPr lang="en-US"/>
        </a:p>
      </c:txPr>
    </c:legend>
    <c:plotVisOnly val="1"/>
  </c:chart>
  <c:spPr>
    <a:ln w="19050">
      <a:solidFill>
        <a:sysClr val="windowText" lastClr="000000"/>
      </a:solidFill>
    </a:ln>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C7DC97-E0CB-4C9F-853B-C0D3CFF7AD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322</TotalTime>
  <Pages>79</Pages>
  <Words>19535</Words>
  <Characters>111353</Characters>
  <Application>Microsoft Office Word</Application>
  <DocSecurity>0</DocSecurity>
  <Lines>927</Lines>
  <Paragraphs>261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130627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kamal</dc:creator>
  <cp:lastModifiedBy>User-1</cp:lastModifiedBy>
  <cp:revision>415</cp:revision>
  <cp:lastPrinted>2012-11-20T06:13:00Z</cp:lastPrinted>
  <dcterms:created xsi:type="dcterms:W3CDTF">2012-11-27T15:00:00Z</dcterms:created>
  <dcterms:modified xsi:type="dcterms:W3CDTF">2012-12-10T07:58:00Z</dcterms:modified>
</cp:coreProperties>
</file>