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77CE" w:rsidRPr="00111B84" w:rsidRDefault="007A77CE" w:rsidP="00D25535">
      <w:pPr>
        <w:spacing w:after="0" w:line="360" w:lineRule="auto"/>
        <w:jc w:val="center"/>
        <w:outlineLvl w:val="0"/>
        <w:rPr>
          <w:rFonts w:ascii="Times New Roman" w:hAnsi="Times New Roman" w:cs="Times New Roman"/>
          <w:b/>
          <w:bCs/>
          <w:sz w:val="32"/>
          <w:szCs w:val="24"/>
        </w:rPr>
      </w:pPr>
      <w:r w:rsidRPr="00111B84">
        <w:rPr>
          <w:rFonts w:ascii="Times New Roman" w:hAnsi="Times New Roman" w:cs="Times New Roman"/>
          <w:b/>
          <w:bCs/>
          <w:sz w:val="32"/>
          <w:szCs w:val="24"/>
        </w:rPr>
        <w:t>CHAPTER – I</w:t>
      </w:r>
    </w:p>
    <w:p w:rsidR="007A77CE" w:rsidRDefault="007A77CE" w:rsidP="00D25535">
      <w:pPr>
        <w:tabs>
          <w:tab w:val="left" w:pos="8309"/>
        </w:tabs>
        <w:spacing w:after="0" w:line="360" w:lineRule="auto"/>
        <w:jc w:val="center"/>
        <w:outlineLvl w:val="0"/>
        <w:rPr>
          <w:rFonts w:ascii="Times New Roman" w:hAnsi="Times New Roman" w:cs="Times New Roman"/>
          <w:b/>
          <w:bCs/>
          <w:sz w:val="28"/>
          <w:szCs w:val="24"/>
        </w:rPr>
      </w:pPr>
      <w:r w:rsidRPr="00111B84">
        <w:rPr>
          <w:rFonts w:ascii="Times New Roman" w:hAnsi="Times New Roman" w:cs="Times New Roman"/>
          <w:b/>
          <w:bCs/>
          <w:sz w:val="28"/>
          <w:szCs w:val="24"/>
        </w:rPr>
        <w:t>INTRODUCTION</w:t>
      </w:r>
    </w:p>
    <w:p w:rsidR="00111B84" w:rsidRPr="00111B84" w:rsidRDefault="00111B84" w:rsidP="00D25535">
      <w:pPr>
        <w:tabs>
          <w:tab w:val="left" w:pos="8309"/>
        </w:tabs>
        <w:spacing w:after="0" w:line="360" w:lineRule="auto"/>
        <w:jc w:val="center"/>
        <w:outlineLvl w:val="0"/>
        <w:rPr>
          <w:rFonts w:ascii="Times New Roman" w:hAnsi="Times New Roman" w:cs="Times New Roman"/>
          <w:b/>
          <w:bCs/>
          <w:sz w:val="28"/>
          <w:szCs w:val="24"/>
        </w:rPr>
      </w:pPr>
    </w:p>
    <w:p w:rsidR="007A77CE" w:rsidRPr="00111B84" w:rsidRDefault="007A77CE" w:rsidP="00D25535">
      <w:pPr>
        <w:pStyle w:val="ListParagraph"/>
        <w:numPr>
          <w:ilvl w:val="0"/>
          <w:numId w:val="5"/>
        </w:numPr>
        <w:tabs>
          <w:tab w:val="left" w:pos="270"/>
        </w:tabs>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INTRODUCTION</w:t>
      </w:r>
    </w:p>
    <w:p w:rsidR="007A77CE" w:rsidRPr="00111B84" w:rsidRDefault="007A77CE" w:rsidP="00D25535">
      <w:pPr>
        <w:tabs>
          <w:tab w:val="left" w:pos="270"/>
        </w:tabs>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1.1   General Background:</w:t>
      </w:r>
    </w:p>
    <w:p w:rsidR="007A77CE" w:rsidRPr="00111B84" w:rsidRDefault="007A77CE" w:rsidP="00D25535">
      <w:pPr>
        <w:tabs>
          <w:tab w:val="left" w:pos="36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policy is one fact of the overall range of policies that guide banks investment operation. A healthy development of any banks depends upon its investment policy. A good policy attracts both borrowers and lenders, which helps to increase the volume and quality of deposits, loan and investment. The commercial banks have several guided principles to provide loan such as profitability, liquidity, safety, purpose, length of time etc. These fundamental principles of commercial banks investment are considered while making investment policy.</w:t>
      </w:r>
    </w:p>
    <w:p w:rsidR="007A77CE" w:rsidRPr="00111B84" w:rsidRDefault="007A77CE" w:rsidP="00D25535">
      <w:pPr>
        <w:tabs>
          <w:tab w:val="left" w:pos="36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profit of a bank largely depends upon the lending practices and policies and investments opportunities in different sectors Investment activity of the one of the major activity of any financial institution because only deposit collection carries no meaning. The success and prosperity of the bank relies heavily upon the successful investment of collected resources to the important sectors. Therefore, the funds received by the bank should be invested in such a way that they will be readily available to repay and distribute the returns. Hence, the bank should have enough liquidity and profitability with all the safety measures. In gist, a right balance should be kept between safety liquidation and profitability. Investment policy provides banks with several inputs through which they can handle their investment operations efficiently assuring maximum return with minimum exposure to risks. </w:t>
      </w:r>
    </w:p>
    <w:p w:rsidR="00111B84" w:rsidRDefault="00111B84"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Effective and efficient fund mobilization and investment policy are two major factors for any developing country aspiring for a sustainable economic development. Investment activity is the one of the major activity of any financial institution because only deposit collection carries no meaning. The success of the bank relies heavily upon the successful investment of collected resources to the important sectors of economy.  Successful formulation and effective implementation of investment policy is the prime requisite for any financial institution. It becomes everybody concern when their performance does not seem so satisfactory in terms of utilization of its </w:t>
      </w:r>
      <w:r w:rsidRPr="00111B84">
        <w:rPr>
          <w:rFonts w:ascii="Times New Roman" w:hAnsi="Times New Roman" w:cs="Times New Roman"/>
          <w:sz w:val="24"/>
          <w:szCs w:val="24"/>
        </w:rPr>
        <w:lastRenderedPageBreak/>
        <w:t xml:space="preserve">resources effectively on productive sectors. The study of commercial banks investment policy focusing on interest rate structure, portfolio management and credit management will strive to disclose the internal weakness and furnish the ideas for improvement. Therefore, the study has undertaken to analyze the existing investment policy of commercial banks and point out the defects inherent in it and provide package of suggestions for its improvement. </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1"/>
          <w:numId w:val="5"/>
        </w:numPr>
        <w:tabs>
          <w:tab w:val="left" w:pos="0"/>
        </w:tabs>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Profile of Concerned Bank:</w:t>
      </w:r>
    </w:p>
    <w:p w:rsidR="007A77CE" w:rsidRDefault="007A77CE" w:rsidP="00D25535">
      <w:pPr>
        <w:pStyle w:val="ListParagraph"/>
        <w:tabs>
          <w:tab w:val="left" w:pos="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bCs/>
          <w:sz w:val="24"/>
          <w:szCs w:val="24"/>
        </w:rPr>
        <w:t>Standard chartered Bank Nepal Limited</w:t>
      </w:r>
      <w:r w:rsidRPr="00111B84">
        <w:rPr>
          <w:rFonts w:ascii="Times New Roman" w:hAnsi="Times New Roman" w:cs="Times New Roman"/>
          <w:sz w:val="24"/>
          <w:szCs w:val="24"/>
        </w:rPr>
        <w:t xml:space="preserve"> (SCBNL) has been in operations in Nepal since 1987 (2043 BS) as Nepal Grind lays bank in collaboration with Grindlays Bank London. After Standard Chartered Group acquires worldwide operation of Grindlays, it has changed its name on July 16</w:t>
      </w:r>
      <w:r w:rsidRPr="00111B84">
        <w:rPr>
          <w:rFonts w:ascii="Times New Roman" w:hAnsi="Times New Roman" w:cs="Times New Roman"/>
          <w:sz w:val="24"/>
          <w:szCs w:val="24"/>
          <w:vertAlign w:val="superscript"/>
        </w:rPr>
        <w:t>th</w:t>
      </w:r>
      <w:r w:rsidRPr="00111B84">
        <w:rPr>
          <w:rFonts w:ascii="Times New Roman" w:hAnsi="Times New Roman" w:cs="Times New Roman"/>
          <w:sz w:val="24"/>
          <w:szCs w:val="24"/>
        </w:rPr>
        <w:t>, 2001. The bank is an integral part of Standard chartered Group having an ownership of 75% and the balance owned by Nepalese public. The bank is a second foreign joint venture bank under the company act 1964, the office of Standard Chartered Bank is situated at New Baneshwor, Kathmand</w:t>
      </w:r>
      <w:r w:rsidR="00111B84">
        <w:rPr>
          <w:rFonts w:ascii="Times New Roman" w:hAnsi="Times New Roman" w:cs="Times New Roman"/>
          <w:sz w:val="24"/>
          <w:szCs w:val="24"/>
        </w:rPr>
        <w:t>u</w:t>
      </w:r>
      <w:r w:rsidRPr="00111B84">
        <w:rPr>
          <w:rFonts w:ascii="Times New Roman" w:hAnsi="Times New Roman" w:cs="Times New Roman"/>
          <w:sz w:val="24"/>
          <w:szCs w:val="24"/>
        </w:rPr>
        <w:t>.</w:t>
      </w:r>
    </w:p>
    <w:p w:rsidR="00111B84" w:rsidRPr="00111B84" w:rsidRDefault="00111B84" w:rsidP="00D25535">
      <w:pPr>
        <w:pStyle w:val="ListParagraph"/>
        <w:tabs>
          <w:tab w:val="left" w:pos="0"/>
        </w:tabs>
        <w:spacing w:after="0" w:line="360" w:lineRule="auto"/>
        <w:ind w:left="0"/>
        <w:jc w:val="both"/>
        <w:rPr>
          <w:rFonts w:ascii="Times New Roman" w:hAnsi="Times New Roman" w:cs="Times New Roman"/>
          <w:sz w:val="24"/>
          <w:szCs w:val="24"/>
        </w:rPr>
      </w:pPr>
    </w:p>
    <w:p w:rsidR="007A77CE" w:rsidRDefault="007A77CE" w:rsidP="00D25535">
      <w:pPr>
        <w:pStyle w:val="ListParagraph"/>
        <w:tabs>
          <w:tab w:val="left" w:pos="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With 16 points of representative, 17 ATMS, and more than 350 local staff, Standard Chartered Bank Nepal Ltd. is in a position to serve its’ customers through an extensive domestic network. In addition, the global network of Standard Chartered Group gives the bank a unique opportunity to provide truly international banking services in Nepal. Standard Chartered Bank Nepal Limited offers a full range of banking products and services in wholesale and consumer banking. The bank has been pioneer in introducing ‘customer-focused’ products and services and aspires to continue to be a leader in introducing new products in delivering superior services.</w:t>
      </w:r>
    </w:p>
    <w:p w:rsidR="00111B84" w:rsidRPr="00111B84" w:rsidRDefault="00111B84" w:rsidP="00D25535">
      <w:pPr>
        <w:pStyle w:val="ListParagraph"/>
        <w:tabs>
          <w:tab w:val="left" w:pos="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tabs>
          <w:tab w:val="left" w:pos="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 Along with Nepal, the bank has its operation in about 70 countries including Nepal. It is considered as the best international and commercial bank in the world. The main headquarter of this bank is in London, England. The bank has a history of 150 years. The bank employs almost 75000 people representing over 115 nationalities, worldwide including Nepal. It is trying to increase its branch in other countries around the world slowly and gradually.</w:t>
      </w:r>
    </w:p>
    <w:p w:rsidR="007A77CE" w:rsidRPr="00111B84" w:rsidRDefault="007A77CE" w:rsidP="00D25535">
      <w:pPr>
        <w:pStyle w:val="ListParagraph"/>
        <w:tabs>
          <w:tab w:val="left" w:pos="540"/>
        </w:tabs>
        <w:spacing w:after="0" w:line="360" w:lineRule="auto"/>
        <w:ind w:left="0"/>
        <w:jc w:val="both"/>
        <w:outlineLvl w:val="0"/>
        <w:rPr>
          <w:rFonts w:ascii="Times New Roman" w:hAnsi="Times New Roman" w:cs="Times New Roman"/>
          <w:b/>
          <w:bCs/>
          <w:sz w:val="24"/>
          <w:szCs w:val="24"/>
        </w:rPr>
      </w:pPr>
    </w:p>
    <w:p w:rsidR="00D25535" w:rsidRDefault="00D25535" w:rsidP="00D25535">
      <w:pPr>
        <w:pStyle w:val="ListParagraph"/>
        <w:tabs>
          <w:tab w:val="left" w:pos="540"/>
        </w:tabs>
        <w:spacing w:after="0" w:line="360" w:lineRule="auto"/>
        <w:ind w:left="0"/>
        <w:jc w:val="both"/>
        <w:outlineLvl w:val="0"/>
        <w:rPr>
          <w:rFonts w:ascii="Times New Roman" w:hAnsi="Times New Roman" w:cs="Times New Roman"/>
          <w:b/>
          <w:bCs/>
          <w:sz w:val="24"/>
          <w:szCs w:val="24"/>
        </w:rPr>
      </w:pPr>
    </w:p>
    <w:p w:rsidR="007A77CE" w:rsidRPr="00111B84" w:rsidRDefault="007A77CE" w:rsidP="00D25535">
      <w:pPr>
        <w:pStyle w:val="ListParagraph"/>
        <w:tabs>
          <w:tab w:val="left" w:pos="540"/>
        </w:tabs>
        <w:spacing w:after="0" w:line="360" w:lineRule="auto"/>
        <w:ind w:left="0"/>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lastRenderedPageBreak/>
        <w:t>Joint Venture Partner:</w:t>
      </w:r>
    </w:p>
    <w:p w:rsidR="007A77CE" w:rsidRPr="00111B84" w:rsidRDefault="007A77CE" w:rsidP="00D25535">
      <w:pPr>
        <w:tabs>
          <w:tab w:val="left" w:pos="540"/>
        </w:tabs>
        <w:spacing w:after="0" w:line="360" w:lineRule="auto"/>
        <w:jc w:val="both"/>
        <w:outlineLvl w:val="0"/>
        <w:rPr>
          <w:rFonts w:ascii="Times New Roman" w:hAnsi="Times New Roman" w:cs="Times New Roman"/>
          <w:sz w:val="24"/>
          <w:szCs w:val="24"/>
        </w:rPr>
      </w:pPr>
      <w:r w:rsidRPr="00111B84">
        <w:rPr>
          <w:rFonts w:ascii="Times New Roman" w:hAnsi="Times New Roman" w:cs="Times New Roman"/>
          <w:sz w:val="24"/>
          <w:szCs w:val="24"/>
        </w:rPr>
        <w:t>Standard Chartered Bank Nepal Limited has been in operation in Nepal when it was initially registered as a joint-venture operation. Today the Bank is an integral part of Standard Chartered Group having an ownership of in the company with shares owned by the Nepalese public. The Bank enjoys the status of the largest international bank currently operating in Nepal.</w:t>
      </w:r>
    </w:p>
    <w:p w:rsidR="007A77CE" w:rsidRPr="00111B84" w:rsidRDefault="007A77CE" w:rsidP="00D25535">
      <w:pPr>
        <w:pStyle w:val="ListParagraph"/>
        <w:tabs>
          <w:tab w:val="left" w:pos="540"/>
        </w:tabs>
        <w:spacing w:after="0" w:line="360" w:lineRule="auto"/>
        <w:ind w:left="0"/>
        <w:jc w:val="both"/>
        <w:outlineLvl w:val="0"/>
        <w:rPr>
          <w:rFonts w:ascii="Times New Roman" w:hAnsi="Times New Roman" w:cs="Times New Roman"/>
          <w:sz w:val="24"/>
          <w:szCs w:val="24"/>
        </w:rPr>
      </w:pPr>
      <w:r w:rsidRPr="00111B84">
        <w:rPr>
          <w:rFonts w:ascii="Times New Roman" w:hAnsi="Times New Roman" w:cs="Times New Roman"/>
          <w:sz w:val="24"/>
          <w:szCs w:val="24"/>
        </w:rPr>
        <w:t>Standard Chartered has a history of over years in banking and operates in many of the world's fastest-growing markets with an extensive global network of over branches (including subsidiaries, associates and joint ventures) in over countries in the Asia Pacific Region, South Asia, the Middle East, Africa, the United Kingdom and the Americas.  The diversity lies at the heart of the Bank's values and supports the Bank's growth as the world increasingly becomes one market.</w:t>
      </w:r>
    </w:p>
    <w:p w:rsidR="007A77CE" w:rsidRPr="00111B84" w:rsidRDefault="007A77CE" w:rsidP="00D25535">
      <w:pPr>
        <w:pStyle w:val="ListParagraph"/>
        <w:tabs>
          <w:tab w:val="left" w:pos="54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1"/>
          <w:numId w:val="5"/>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Statement of the Problem:</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Nepalese commercial banks have not formulates their investment policy in an organized manner. They relay much on the guidelines and instruction of the Nepal Rastra Bank. They do not have clear view towards investment policy and gave not formulates their own organized investment policy. Lack of foresightedness in policy formulation and absence of strong commitment towards its proper implementation has caused many problems to commercial banks. Furthermore, the implementation of policy is not practiced in an effective way. </w:t>
      </w:r>
    </w:p>
    <w:p w:rsidR="007A77CE" w:rsidRPr="00111B84" w:rsidRDefault="007A77CE" w:rsidP="00D25535">
      <w:pPr>
        <w:tabs>
          <w:tab w:val="left" w:pos="360"/>
          <w:tab w:val="left" w:pos="450"/>
        </w:tabs>
        <w:spacing w:after="0" w:line="360" w:lineRule="auto"/>
        <w:ind w:left="360"/>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Commercial banks are not properly utilizing their deposits because of lack of sound lending policy and investment opportunities. Due to the lack of sound investment opportunities banks are reducing the interest rates on the deposits and increasing the minimum balance for the deposit account. Their investment has been found to have lower productivity due to the lack of supervision regarding whether the amount they have lent have been properly utilized or not. Many commercial banks are not found investing even a minimum percentage in the priority sectors due to the uncertainty of desirable return, higher chances of default and high operation cost. They make investment on less risky and highly liquid sectors, and they keep high liquid position and flow lower funds in productive sectors. These types of unfavorable investments reduce the rate of return for the bank, which in turn affect the interest rate being </w:t>
      </w:r>
      <w:r w:rsidRPr="00111B84">
        <w:rPr>
          <w:rFonts w:ascii="Times New Roman" w:hAnsi="Times New Roman" w:cs="Times New Roman"/>
          <w:sz w:val="24"/>
          <w:szCs w:val="24"/>
        </w:rPr>
        <w:lastRenderedPageBreak/>
        <w:t>offered to the depositor. Such condition may cause the high liquid market and can impact the condition of the whole country negatively.</w:t>
      </w:r>
    </w:p>
    <w:p w:rsidR="007A77CE" w:rsidRPr="00111B84" w:rsidRDefault="007A77CE" w:rsidP="00D25535">
      <w:pPr>
        <w:tabs>
          <w:tab w:val="left" w:pos="360"/>
          <w:tab w:val="left" w:pos="450"/>
        </w:tabs>
        <w:spacing w:after="0" w:line="360" w:lineRule="auto"/>
        <w:ind w:left="360"/>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 the end of 2012, there are 27 commercial banks. All these banks created cutthroat competition in financial sectors. The main focus of the study will be towards the investment matter of the bank. Investment policy is the main factor for the every banks and financial institutions. Thus the study will try to explain the following points specially related to the investment function of the Standard Chartered Bank Limited.</w:t>
      </w:r>
    </w:p>
    <w:p w:rsidR="007A77CE" w:rsidRPr="00111B84" w:rsidRDefault="007A77CE" w:rsidP="00D25535">
      <w:pPr>
        <w:pStyle w:val="ListParagraph"/>
        <w:numPr>
          <w:ilvl w:val="0"/>
          <w:numId w:val="2"/>
        </w:numPr>
        <w:spacing w:after="0" w:line="360" w:lineRule="auto"/>
        <w:ind w:left="720"/>
        <w:contextualSpacing w:val="0"/>
        <w:jc w:val="both"/>
        <w:rPr>
          <w:rFonts w:ascii="Times New Roman" w:hAnsi="Times New Roman" w:cs="Times New Roman"/>
          <w:sz w:val="24"/>
          <w:szCs w:val="24"/>
        </w:rPr>
      </w:pPr>
      <w:r w:rsidRPr="00111B84">
        <w:rPr>
          <w:rFonts w:ascii="Times New Roman" w:hAnsi="Times New Roman" w:cs="Times New Roman"/>
          <w:sz w:val="24"/>
          <w:szCs w:val="24"/>
        </w:rPr>
        <w:t>How is the utilization of the collected funds of Standard Chartered Bank Nepal Limited?</w:t>
      </w:r>
    </w:p>
    <w:p w:rsidR="007A77CE" w:rsidRPr="00111B84" w:rsidRDefault="007A77CE" w:rsidP="00D25535">
      <w:pPr>
        <w:pStyle w:val="ListParagraph"/>
        <w:numPr>
          <w:ilvl w:val="0"/>
          <w:numId w:val="2"/>
        </w:numPr>
        <w:tabs>
          <w:tab w:val="left" w:pos="360"/>
        </w:tabs>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Does the investment decision affect earning of bank?</w:t>
      </w:r>
    </w:p>
    <w:p w:rsidR="007A77CE" w:rsidRPr="00111B84" w:rsidRDefault="007A77CE" w:rsidP="00D25535">
      <w:pPr>
        <w:pStyle w:val="ListParagraph"/>
        <w:numPr>
          <w:ilvl w:val="0"/>
          <w:numId w:val="2"/>
        </w:numPr>
        <w:tabs>
          <w:tab w:val="left" w:pos="720"/>
        </w:tabs>
        <w:spacing w:after="0" w:line="360" w:lineRule="auto"/>
        <w:ind w:left="720"/>
        <w:contextualSpacing w:val="0"/>
        <w:jc w:val="both"/>
        <w:rPr>
          <w:rFonts w:ascii="Times New Roman" w:hAnsi="Times New Roman" w:cs="Times New Roman"/>
          <w:sz w:val="24"/>
          <w:szCs w:val="24"/>
        </w:rPr>
      </w:pPr>
      <w:r w:rsidRPr="00111B84">
        <w:rPr>
          <w:rFonts w:ascii="Times New Roman" w:hAnsi="Times New Roman" w:cs="Times New Roman"/>
          <w:sz w:val="24"/>
          <w:szCs w:val="24"/>
        </w:rPr>
        <w:t>What is the status of Non- Performing asset in relation to total loans and   advances of the bank?</w:t>
      </w:r>
    </w:p>
    <w:p w:rsidR="007A77CE" w:rsidRPr="00111B84" w:rsidRDefault="007A77CE" w:rsidP="00D25535">
      <w:pPr>
        <w:pStyle w:val="ListParagraph"/>
        <w:numPr>
          <w:ilvl w:val="0"/>
          <w:numId w:val="2"/>
        </w:numPr>
        <w:tabs>
          <w:tab w:val="left" w:pos="720"/>
        </w:tabs>
        <w:spacing w:after="0" w:line="360" w:lineRule="auto"/>
        <w:ind w:left="720"/>
        <w:contextualSpacing w:val="0"/>
        <w:jc w:val="both"/>
        <w:rPr>
          <w:rFonts w:ascii="Times New Roman" w:hAnsi="Times New Roman" w:cs="Times New Roman"/>
          <w:sz w:val="24"/>
          <w:szCs w:val="24"/>
        </w:rPr>
      </w:pPr>
      <w:r w:rsidRPr="00111B84">
        <w:rPr>
          <w:rFonts w:ascii="Times New Roman" w:hAnsi="Times New Roman" w:cs="Times New Roman"/>
          <w:sz w:val="24"/>
          <w:szCs w:val="24"/>
        </w:rPr>
        <w:t>What is the proportion on the risk free and risky investment on total investment made by the bank?</w:t>
      </w:r>
    </w:p>
    <w:p w:rsidR="007A77CE" w:rsidRPr="00111B84" w:rsidRDefault="007A77CE" w:rsidP="00D25535">
      <w:pPr>
        <w:pStyle w:val="ListParagraph"/>
        <w:numPr>
          <w:ilvl w:val="0"/>
          <w:numId w:val="2"/>
        </w:numPr>
        <w:tabs>
          <w:tab w:val="left" w:pos="450"/>
        </w:tabs>
        <w:spacing w:after="0" w:line="360" w:lineRule="auto"/>
        <w:ind w:left="720"/>
        <w:contextualSpacing w:val="0"/>
        <w:jc w:val="both"/>
        <w:rPr>
          <w:rFonts w:ascii="Times New Roman" w:hAnsi="Times New Roman" w:cs="Times New Roman"/>
          <w:sz w:val="24"/>
          <w:szCs w:val="24"/>
        </w:rPr>
      </w:pPr>
      <w:r w:rsidRPr="00111B84">
        <w:rPr>
          <w:rFonts w:ascii="Times New Roman" w:hAnsi="Times New Roman" w:cs="Times New Roman"/>
          <w:sz w:val="24"/>
          <w:szCs w:val="24"/>
        </w:rPr>
        <w:t>What is the relationship of total deposits on total investment and total investment on total net profit of the bank?</w:t>
      </w:r>
    </w:p>
    <w:p w:rsidR="007A77CE" w:rsidRDefault="007A77CE" w:rsidP="00D25535">
      <w:pPr>
        <w:pStyle w:val="ListParagraph"/>
        <w:tabs>
          <w:tab w:val="left" w:pos="45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1"/>
          <w:numId w:val="5"/>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Objective of the Study:</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basic objective of the study is to analyze the investment policies adopted by Standard chartered Bank Limited. To support this main objective the following sub objective has been developed. </w:t>
      </w:r>
    </w:p>
    <w:p w:rsidR="007A77CE" w:rsidRPr="00111B84" w:rsidRDefault="007A77CE" w:rsidP="00D25535">
      <w:pPr>
        <w:tabs>
          <w:tab w:val="left" w:pos="36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3"/>
        </w:numPr>
        <w:tabs>
          <w:tab w:val="left" w:pos="450"/>
        </w:tabs>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study the fund mobilization and investment policy of Standard Chartered Bank Limited.</w:t>
      </w:r>
    </w:p>
    <w:p w:rsidR="007A77CE" w:rsidRPr="00111B84" w:rsidRDefault="007A77CE" w:rsidP="00D25535">
      <w:pPr>
        <w:pStyle w:val="ListParagraph"/>
        <w:numPr>
          <w:ilvl w:val="0"/>
          <w:numId w:val="3"/>
        </w:numPr>
        <w:tabs>
          <w:tab w:val="left" w:pos="450"/>
        </w:tabs>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examine the liquidity, asset management, profitability and risk position of Standard Chartered Bank Limited</w:t>
      </w:r>
    </w:p>
    <w:p w:rsidR="007A77CE" w:rsidRPr="00111B84" w:rsidRDefault="007A77CE" w:rsidP="00D25535">
      <w:pPr>
        <w:pStyle w:val="ListParagraph"/>
        <w:numPr>
          <w:ilvl w:val="0"/>
          <w:numId w:val="3"/>
        </w:numPr>
        <w:tabs>
          <w:tab w:val="left" w:pos="450"/>
        </w:tabs>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examine the investment portfolio management of the Standard Chartered Bank Limited and its effect in capital adequacy.</w:t>
      </w:r>
    </w:p>
    <w:p w:rsidR="007A77CE" w:rsidRPr="00111B84" w:rsidRDefault="007A77CE" w:rsidP="00D25535">
      <w:pPr>
        <w:pStyle w:val="ListParagraph"/>
        <w:numPr>
          <w:ilvl w:val="0"/>
          <w:numId w:val="3"/>
        </w:numPr>
        <w:tabs>
          <w:tab w:val="left" w:pos="450"/>
        </w:tabs>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examine the Non Performing assets of the Standard Chartered Bank Limited.</w:t>
      </w:r>
    </w:p>
    <w:p w:rsidR="007A77CE" w:rsidRPr="00111B84" w:rsidRDefault="007A77CE" w:rsidP="00D25535">
      <w:pPr>
        <w:pStyle w:val="ListParagraph"/>
        <w:numPr>
          <w:ilvl w:val="0"/>
          <w:numId w:val="3"/>
        </w:numPr>
        <w:tabs>
          <w:tab w:val="left" w:pos="450"/>
        </w:tabs>
        <w:spacing w:after="0" w:line="360" w:lineRule="auto"/>
        <w:contextualSpacing w:val="0"/>
        <w:jc w:val="both"/>
        <w:rPr>
          <w:rFonts w:ascii="Times New Roman" w:hAnsi="Times New Roman" w:cs="Times New Roman"/>
          <w:b/>
          <w:bCs/>
          <w:sz w:val="24"/>
          <w:szCs w:val="24"/>
        </w:rPr>
      </w:pPr>
      <w:r w:rsidRPr="00111B84">
        <w:rPr>
          <w:rFonts w:ascii="Times New Roman" w:hAnsi="Times New Roman" w:cs="Times New Roman"/>
          <w:sz w:val="24"/>
          <w:szCs w:val="24"/>
        </w:rPr>
        <w:t xml:space="preserve">To provide suggestions and recommendations to Standard Chartered Bank Limited. </w:t>
      </w:r>
    </w:p>
    <w:p w:rsidR="007A77CE" w:rsidRPr="00111B84" w:rsidRDefault="007A77CE" w:rsidP="00D25535">
      <w:pPr>
        <w:pStyle w:val="ListParagraph"/>
        <w:tabs>
          <w:tab w:val="left" w:pos="45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1"/>
          <w:numId w:val="5"/>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Significance/ Importance of the Study</w:t>
      </w:r>
    </w:p>
    <w:p w:rsidR="007A77CE" w:rsidRPr="00111B84" w:rsidRDefault="007A77CE" w:rsidP="00D25535">
      <w:pPr>
        <w:tabs>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effort is made to highlight the investment policy of commercial banks expecting that the study can be bridge gap between deposits and investment policies. In the context of Nepal, there are less availability of research work, articles, and journals in investment policy of commercial banks and financial institutions. Thus the study will certainly help management of the Standard Chartered Bank Limited to improve their performance and would help them to take collective action. Similarly the study will be significant for various groups, which can be as follows:</w:t>
      </w:r>
    </w:p>
    <w:p w:rsidR="007A77CE" w:rsidRPr="00111B84" w:rsidRDefault="007A77CE" w:rsidP="00D25535">
      <w:pPr>
        <w:pStyle w:val="ListParagraph"/>
        <w:numPr>
          <w:ilvl w:val="0"/>
          <w:numId w:val="6"/>
        </w:numPr>
        <w:tabs>
          <w:tab w:val="left" w:pos="180"/>
        </w:tabs>
        <w:spacing w:after="0" w:line="360" w:lineRule="auto"/>
        <w:ind w:left="18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It will be helpful for commercial banks.</w:t>
      </w:r>
    </w:p>
    <w:p w:rsidR="007A77CE" w:rsidRPr="00111B84" w:rsidRDefault="007A77CE" w:rsidP="00D25535">
      <w:pPr>
        <w:pStyle w:val="ListParagraph"/>
        <w:numPr>
          <w:ilvl w:val="0"/>
          <w:numId w:val="6"/>
        </w:numPr>
        <w:tabs>
          <w:tab w:val="left" w:pos="720"/>
        </w:tabs>
        <w:spacing w:after="0" w:line="360" w:lineRule="auto"/>
        <w:ind w:left="720" w:hanging="540"/>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research will provide required information to various persons and parties such as general reader, investors, shareholder, decision maker, brokers, financial agencies, businessman and general public.</w:t>
      </w:r>
    </w:p>
    <w:p w:rsidR="007A77CE" w:rsidRPr="00111B84" w:rsidRDefault="007A77CE" w:rsidP="00D25535">
      <w:pPr>
        <w:pStyle w:val="ListParagraph"/>
        <w:numPr>
          <w:ilvl w:val="0"/>
          <w:numId w:val="6"/>
        </w:numPr>
        <w:tabs>
          <w:tab w:val="left" w:pos="720"/>
        </w:tabs>
        <w:spacing w:after="0" w:line="360" w:lineRule="auto"/>
        <w:ind w:left="720" w:hanging="540"/>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study helps the shareholders to make decisions while making investment on share.</w:t>
      </w:r>
    </w:p>
    <w:p w:rsidR="007A77CE" w:rsidRPr="00111B84" w:rsidRDefault="007A77CE" w:rsidP="00D25535">
      <w:pPr>
        <w:pStyle w:val="ListParagraph"/>
        <w:tabs>
          <w:tab w:val="left" w:pos="72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1"/>
          <w:numId w:val="5"/>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Limitation of the Study:</w:t>
      </w:r>
    </w:p>
    <w:p w:rsidR="007A77CE" w:rsidRPr="00111B84" w:rsidRDefault="007A77CE" w:rsidP="00D25535">
      <w:pPr>
        <w:tabs>
          <w:tab w:val="left" w:pos="36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study is subject to following limitations:</w:t>
      </w:r>
    </w:p>
    <w:p w:rsidR="007A77CE" w:rsidRPr="00111B84" w:rsidRDefault="007A77CE" w:rsidP="00D25535">
      <w:pPr>
        <w:pStyle w:val="ListParagraph"/>
        <w:numPr>
          <w:ilvl w:val="0"/>
          <w:numId w:val="4"/>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This study is based on secondary data only. It is apparent that the secondary data are crucial for the study. The data problem is acute in Nepal.</w:t>
      </w:r>
    </w:p>
    <w:p w:rsidR="007A77CE" w:rsidRPr="00111B84" w:rsidRDefault="007A77CE" w:rsidP="00D25535">
      <w:pPr>
        <w:pStyle w:val="ListParagraph"/>
        <w:numPr>
          <w:ilvl w:val="0"/>
          <w:numId w:val="4"/>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There are many factors that affect investment decision and valuation of the firm. However this study concentrates only on those factors, which are related with investment.</w:t>
      </w:r>
    </w:p>
    <w:p w:rsidR="007A77CE" w:rsidRPr="00111B84" w:rsidRDefault="007A77CE" w:rsidP="00D25535">
      <w:pPr>
        <w:pStyle w:val="ListParagraph"/>
        <w:numPr>
          <w:ilvl w:val="0"/>
          <w:numId w:val="4"/>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study period covers only five year i.e. 2008 to 2012 data where the earlier years are not considered.</w:t>
      </w:r>
    </w:p>
    <w:p w:rsidR="00D25535" w:rsidRDefault="00D25535" w:rsidP="00D25535">
      <w:pPr>
        <w:spacing w:after="0" w:line="360" w:lineRule="auto"/>
        <w:rPr>
          <w:rFonts w:ascii="Times New Roman" w:hAnsi="Times New Roman" w:cs="Times New Roman"/>
          <w:b/>
          <w:bCs/>
          <w:sz w:val="32"/>
          <w:szCs w:val="32"/>
        </w:rPr>
      </w:pPr>
      <w:r>
        <w:rPr>
          <w:rFonts w:ascii="Times New Roman" w:hAnsi="Times New Roman" w:cs="Times New Roman"/>
          <w:b/>
          <w:bCs/>
          <w:sz w:val="32"/>
          <w:szCs w:val="32"/>
        </w:rPr>
        <w:br w:type="page"/>
      </w:r>
    </w:p>
    <w:p w:rsidR="007A77CE" w:rsidRPr="00111B84" w:rsidRDefault="007A77CE" w:rsidP="00D25535">
      <w:pPr>
        <w:spacing w:after="0" w:line="360" w:lineRule="auto"/>
        <w:jc w:val="center"/>
        <w:outlineLvl w:val="0"/>
        <w:rPr>
          <w:rFonts w:ascii="Times New Roman" w:hAnsi="Times New Roman" w:cs="Times New Roman"/>
          <w:b/>
          <w:bCs/>
          <w:sz w:val="32"/>
          <w:szCs w:val="32"/>
        </w:rPr>
      </w:pPr>
      <w:r w:rsidRPr="00111B84">
        <w:rPr>
          <w:rFonts w:ascii="Times New Roman" w:hAnsi="Times New Roman" w:cs="Times New Roman"/>
          <w:b/>
          <w:bCs/>
          <w:sz w:val="32"/>
          <w:szCs w:val="32"/>
        </w:rPr>
        <w:lastRenderedPageBreak/>
        <w:t>CHAPTER – II</w:t>
      </w:r>
    </w:p>
    <w:p w:rsidR="007A77CE" w:rsidRDefault="00111B84" w:rsidP="00D25535">
      <w:pPr>
        <w:spacing w:after="0" w:line="360" w:lineRule="auto"/>
        <w:jc w:val="center"/>
        <w:outlineLvl w:val="0"/>
        <w:rPr>
          <w:rFonts w:ascii="Times New Roman" w:hAnsi="Times New Roman" w:cs="Times New Roman"/>
          <w:b/>
          <w:bCs/>
          <w:sz w:val="28"/>
          <w:szCs w:val="28"/>
        </w:rPr>
      </w:pPr>
      <w:r w:rsidRPr="00111B84">
        <w:rPr>
          <w:rFonts w:ascii="Times New Roman" w:hAnsi="Times New Roman" w:cs="Times New Roman"/>
          <w:b/>
          <w:bCs/>
          <w:sz w:val="28"/>
          <w:szCs w:val="28"/>
        </w:rPr>
        <w:t>REVIEW OF LITERATURE</w:t>
      </w:r>
    </w:p>
    <w:p w:rsidR="00D25535" w:rsidRPr="00111B84" w:rsidRDefault="00D25535" w:rsidP="00D25535">
      <w:pPr>
        <w:spacing w:after="0" w:line="360" w:lineRule="auto"/>
        <w:jc w:val="center"/>
        <w:outlineLvl w:val="0"/>
        <w:rPr>
          <w:rFonts w:ascii="Times New Roman" w:hAnsi="Times New Roman" w:cs="Times New Roman"/>
          <w:b/>
          <w:bCs/>
          <w:sz w:val="28"/>
          <w:szCs w:val="28"/>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2.1</w:t>
      </w:r>
      <w:r w:rsidRPr="00111B84">
        <w:rPr>
          <w:rFonts w:ascii="Times New Roman" w:hAnsi="Times New Roman" w:cs="Times New Roman"/>
          <w:sz w:val="24"/>
          <w:szCs w:val="24"/>
        </w:rPr>
        <w:t xml:space="preserve">   </w:t>
      </w:r>
      <w:r w:rsidRPr="00111B84">
        <w:rPr>
          <w:rFonts w:ascii="Times New Roman" w:hAnsi="Times New Roman" w:cs="Times New Roman"/>
          <w:b/>
          <w:sz w:val="24"/>
          <w:szCs w:val="24"/>
        </w:rPr>
        <w:t>Introduction:</w:t>
      </w:r>
      <w:r w:rsidRPr="00111B84">
        <w:rPr>
          <w:rFonts w:ascii="Times New Roman" w:hAnsi="Times New Roman" w:cs="Times New Roman"/>
          <w:b/>
          <w:sz w:val="24"/>
          <w:szCs w:val="24"/>
        </w:rPr>
        <w:tab/>
      </w:r>
    </w:p>
    <w:p w:rsidR="007A77CE" w:rsidRPr="00111B84" w:rsidRDefault="007A77CE" w:rsidP="00D25535">
      <w:pPr>
        <w:tabs>
          <w:tab w:val="left" w:pos="36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Several research works has been done in various aspects of commercial banks especially financial performance, investment policy, resource mobilization, lending policy, compliance of NRB directives by banks etc. There are some books, journals, articles, others studies related with investment policy. Some of the relevant studies, literature on lending and investment are reviewed below. This chapter is categorized into following headings:</w:t>
      </w:r>
    </w:p>
    <w:p w:rsidR="007A77CE" w:rsidRPr="00111B84" w:rsidRDefault="007A77CE" w:rsidP="00D25535">
      <w:pPr>
        <w:pStyle w:val="ListParagraph"/>
        <w:numPr>
          <w:ilvl w:val="0"/>
          <w:numId w:val="8"/>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Conceptual Review</w:t>
      </w:r>
    </w:p>
    <w:p w:rsidR="007A77CE" w:rsidRPr="00111B84" w:rsidRDefault="007A77CE" w:rsidP="00D25535">
      <w:pPr>
        <w:pStyle w:val="ListParagraph"/>
        <w:numPr>
          <w:ilvl w:val="0"/>
          <w:numId w:val="8"/>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Review of  Related Studies</w:t>
      </w:r>
    </w:p>
    <w:p w:rsidR="007A77CE" w:rsidRPr="00111B84" w:rsidRDefault="007A77CE" w:rsidP="00D25535">
      <w:pPr>
        <w:pStyle w:val="ListParagraph"/>
        <w:numPr>
          <w:ilvl w:val="0"/>
          <w:numId w:val="9"/>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Review of Articles</w:t>
      </w:r>
    </w:p>
    <w:p w:rsidR="007A77CE" w:rsidRPr="00111B84" w:rsidRDefault="007A77CE" w:rsidP="00D25535">
      <w:pPr>
        <w:pStyle w:val="ListParagraph"/>
        <w:numPr>
          <w:ilvl w:val="0"/>
          <w:numId w:val="9"/>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Review of Thesis</w:t>
      </w:r>
    </w:p>
    <w:p w:rsidR="007A77CE" w:rsidRPr="00111B84" w:rsidRDefault="007A77CE" w:rsidP="00D25535">
      <w:pPr>
        <w:pStyle w:val="ListParagraph"/>
        <w:numPr>
          <w:ilvl w:val="0"/>
          <w:numId w:val="9"/>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Review of Legislative Provisions</w:t>
      </w:r>
    </w:p>
    <w:p w:rsidR="007A77CE" w:rsidRPr="00111B84" w:rsidRDefault="007A77CE" w:rsidP="00D25535">
      <w:pPr>
        <w:pStyle w:val="ListParagraph"/>
        <w:numPr>
          <w:ilvl w:val="0"/>
          <w:numId w:val="9"/>
        </w:numPr>
        <w:tabs>
          <w:tab w:val="left" w:pos="360"/>
        </w:tabs>
        <w:spacing w:after="0" w:line="360" w:lineRule="auto"/>
        <w:ind w:left="360"/>
        <w:contextualSpacing w:val="0"/>
        <w:jc w:val="both"/>
        <w:rPr>
          <w:rFonts w:ascii="Times New Roman" w:hAnsi="Times New Roman" w:cs="Times New Roman"/>
          <w:sz w:val="24"/>
          <w:szCs w:val="24"/>
        </w:rPr>
      </w:pPr>
      <w:r w:rsidRPr="00111B84">
        <w:rPr>
          <w:rFonts w:ascii="Times New Roman" w:hAnsi="Times New Roman" w:cs="Times New Roman"/>
          <w:sz w:val="24"/>
          <w:szCs w:val="24"/>
        </w:rPr>
        <w:t xml:space="preserve">Review of effect of investment portfolio in Capital Adequacy. </w:t>
      </w:r>
    </w:p>
    <w:p w:rsidR="007A77CE" w:rsidRPr="00111B84" w:rsidRDefault="007A77CE" w:rsidP="00D25535">
      <w:pPr>
        <w:tabs>
          <w:tab w:val="left" w:pos="360"/>
          <w:tab w:val="left" w:pos="450"/>
        </w:tabs>
        <w:spacing w:after="0" w:line="360" w:lineRule="auto"/>
        <w:jc w:val="both"/>
        <w:rPr>
          <w:rFonts w:ascii="Times New Roman" w:hAnsi="Times New Roman" w:cs="Times New Roman"/>
          <w:b/>
          <w:bCs/>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w:t>
      </w:r>
      <w:r w:rsidRPr="00111B84">
        <w:rPr>
          <w:rFonts w:ascii="Times New Roman" w:hAnsi="Times New Roman" w:cs="Times New Roman"/>
          <w:b/>
          <w:bCs/>
          <w:sz w:val="24"/>
          <w:szCs w:val="24"/>
        </w:rPr>
        <w:tab/>
        <w:t>Conceptual Review:</w:t>
      </w:r>
    </w:p>
    <w:p w:rsidR="007A77CE"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chapter focuses to discuss briefly about the theoretical concept of the investment and its relation with other subject matter in relation to banks. This chapter is further divided into different parts as below:</w:t>
      </w:r>
    </w:p>
    <w:p w:rsidR="00D25535" w:rsidRDefault="00D25535" w:rsidP="00D25535">
      <w:pPr>
        <w:tabs>
          <w:tab w:val="left" w:pos="360"/>
          <w:tab w:val="left" w:pos="450"/>
        </w:tabs>
        <w:spacing w:after="0" w:line="360" w:lineRule="auto"/>
        <w:jc w:val="both"/>
        <w:rPr>
          <w:rFonts w:ascii="Times New Roman" w:hAnsi="Times New Roman" w:cs="Times New Roman"/>
          <w:sz w:val="24"/>
          <w:szCs w:val="24"/>
        </w:rPr>
      </w:pPr>
    </w:p>
    <w:p w:rsidR="00D25535" w:rsidRDefault="00D25535" w:rsidP="00D25535">
      <w:pPr>
        <w:tabs>
          <w:tab w:val="left" w:pos="360"/>
          <w:tab w:val="left" w:pos="450"/>
        </w:tabs>
        <w:spacing w:after="0" w:line="360" w:lineRule="auto"/>
        <w:jc w:val="both"/>
        <w:rPr>
          <w:rFonts w:ascii="Times New Roman" w:hAnsi="Times New Roman" w:cs="Times New Roman"/>
          <w:sz w:val="24"/>
          <w:szCs w:val="24"/>
        </w:rPr>
      </w:pPr>
    </w:p>
    <w:p w:rsidR="00D25535" w:rsidRPr="00111B84" w:rsidRDefault="00D25535"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2.2.1</w:t>
      </w:r>
      <w:r w:rsidRPr="00111B84">
        <w:rPr>
          <w:rFonts w:ascii="Times New Roman" w:hAnsi="Times New Roman" w:cs="Times New Roman"/>
          <w:b/>
          <w:bCs/>
          <w:sz w:val="24"/>
          <w:szCs w:val="24"/>
        </w:rPr>
        <w:tab/>
        <w:t>Concept of Commercial Bank:</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 commercial bank is one which exchanges money, deposits money, accepts deposits, grant loans and performs commercial banking functions and which is not a bank meant for cooperative, agriculture, industries or for such specific purpose. (Commercial Banks Act of Nepal; 1974)</w:t>
      </w:r>
    </w:p>
    <w:p w:rsidR="00D25535" w:rsidRDefault="00D25535" w:rsidP="00D25535">
      <w:pPr>
        <w:tabs>
          <w:tab w:val="left" w:pos="360"/>
          <w:tab w:val="left" w:pos="450"/>
        </w:tabs>
        <w:spacing w:after="0" w:line="360" w:lineRule="auto"/>
        <w:jc w:val="both"/>
        <w:rPr>
          <w:rFonts w:ascii="Times New Roman" w:hAnsi="Times New Roman" w:cs="Times New Roman"/>
          <w:sz w:val="24"/>
          <w:szCs w:val="24"/>
        </w:rPr>
      </w:pPr>
    </w:p>
    <w:p w:rsidR="007A77CE"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Optimal investment decision plays a vital role in each and every organization. But especially for the commercial banks and other financial institutions the sound </w:t>
      </w:r>
      <w:r w:rsidRPr="00111B84">
        <w:rPr>
          <w:rFonts w:ascii="Times New Roman" w:hAnsi="Times New Roman" w:cs="Times New Roman"/>
          <w:sz w:val="24"/>
          <w:szCs w:val="24"/>
        </w:rPr>
        <w:lastRenderedPageBreak/>
        <w:t>knowledge of investment is relevant for all surrounding that mobilize funds in different sectors in view of return.</w:t>
      </w:r>
    </w:p>
    <w:p w:rsidR="00D25535" w:rsidRPr="00111B84" w:rsidRDefault="00D25535"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As it is concerned to the commercial banks they must mobilize their collections and other funds towards the profitable, secured and marketable sectors so that they will be in profit. For this purpose these banks should gather the sufficient information about the firm to which supposed to be invested. This information include as financial background, nature of business as well as its ability to repay the loan back. These all information should be gathered from the viewpoint of security.</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income and profit of the bank depend upon the lending procedure applied by the bank as well as lending policy and investment in different securities also affect the income and profit. In the investment procedure and policies it is always taken in mind that the greater the credit created by the bank, higher will be the profitability. The sound policies help commercial banks maximize quality and quantity of investment and thereby, achieve the own objective of profit maximization and social welfare.</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Commercial banks and financial institutions perform number of internal functions. Among them, providing credit is considered as most important one. In other words of H.D. Crosse, “commercial banks bring into being the most important ingredient of the money supply, demand deposit through the creation of credit in the form of loan and investments.” (H.D. Crosse; 1963)</w:t>
      </w:r>
    </w:p>
    <w:p w:rsidR="007A77CE" w:rsidRPr="00111B84" w:rsidRDefault="007A77CE" w:rsidP="00D25535">
      <w:pPr>
        <w:tabs>
          <w:tab w:val="left" w:pos="360"/>
          <w:tab w:val="left" w:pos="450"/>
        </w:tabs>
        <w:spacing w:after="0" w:line="360" w:lineRule="auto"/>
        <w:jc w:val="both"/>
        <w:rPr>
          <w:rFonts w:ascii="Times New Roman" w:hAnsi="Times New Roman" w:cs="Times New Roman"/>
          <w:b/>
          <w:bCs/>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2.2.2</w:t>
      </w:r>
      <w:r w:rsidRPr="00111B84">
        <w:rPr>
          <w:rFonts w:ascii="Times New Roman" w:hAnsi="Times New Roman" w:cs="Times New Roman"/>
          <w:b/>
          <w:bCs/>
          <w:sz w:val="24"/>
          <w:szCs w:val="24"/>
        </w:rPr>
        <w:tab/>
        <w:t>Concept of Investment and Investment Policy of Bank:</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Investment is the broadest sense means the sacrifice of current dollars for future dollars. Two different attributes are involve time and risk. The sacrifice takes place in the present and is certain. The reward comes later, if at all, and the magnitude is generally uncertain. In some cases time predominates and in some cases risk is the dominant attribute. </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“Commercial bank should consider the national interest followed by borrower’s interest and the interest of the bank itself before investing to the borrowers.” (J.H. Clemens; 1963)</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To further pursue his view, bank lending must be for such purpose of the borrowers that are in keeping with the national policy and banks overall investment policy. A bank overall investment:</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0"/>
        </w:numPr>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Should be basically of short term characters</w:t>
      </w:r>
    </w:p>
    <w:p w:rsidR="007A77CE" w:rsidRPr="00111B84" w:rsidRDefault="007A77CE" w:rsidP="00D25535">
      <w:pPr>
        <w:pStyle w:val="ListParagraph"/>
        <w:numPr>
          <w:ilvl w:val="0"/>
          <w:numId w:val="10"/>
        </w:numPr>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Should be well spread</w:t>
      </w:r>
    </w:p>
    <w:p w:rsidR="007A77CE" w:rsidRPr="00111B84" w:rsidRDefault="007A77CE" w:rsidP="00D25535">
      <w:pPr>
        <w:pStyle w:val="ListParagraph"/>
        <w:numPr>
          <w:ilvl w:val="0"/>
          <w:numId w:val="10"/>
        </w:numPr>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Should be repayable on demand</w:t>
      </w:r>
    </w:p>
    <w:p w:rsidR="007A77CE" w:rsidRPr="00111B84" w:rsidRDefault="007A77CE" w:rsidP="00D25535">
      <w:pPr>
        <w:pStyle w:val="ListParagraph"/>
        <w:numPr>
          <w:ilvl w:val="0"/>
          <w:numId w:val="10"/>
        </w:numPr>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Must be profitable</w:t>
      </w:r>
    </w:p>
    <w:p w:rsidR="007A77CE" w:rsidRPr="00111B84" w:rsidRDefault="007A77CE" w:rsidP="00D25535">
      <w:pPr>
        <w:pStyle w:val="ListParagraph"/>
        <w:numPr>
          <w:ilvl w:val="0"/>
          <w:numId w:val="10"/>
        </w:numPr>
        <w:spacing w:after="0" w:line="360" w:lineRule="auto"/>
        <w:ind w:left="36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Must be well in adequate security</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Thus, commercial banks have to consider government and NRB instruction and own interest as well. Good investment policy ensures maximum amount of investment to all sectors with proper utilization.</w:t>
      </w: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p>
    <w:p w:rsidR="007A77CE"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policy of a bank is guided by the investment policy adopted by the bank. The investment policy of the bank helps the investment operation of the bank to be efficient and profitable by minimizing the inherent risk.</w:t>
      </w:r>
    </w:p>
    <w:p w:rsidR="00111B84" w:rsidRPr="00111B84" w:rsidRDefault="00111B84"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 sound investment policy of a bank is such that its funds are distributed on different type of assets with good profitability on the hand and provide maximum safety and security to the depositor and banks on the other hand. Moreover, risk in banking sectors ends to be concentrated in the loan portfolio. Therefore, the bank investment policy must ensure that it is sound and prudent in order to protect public funds. Bank makes a variety of loans to a wide range of customers for different purposes. Therefore, no uniform rules can be laid down to determine a portfolio of a bank. The environment in which it operates influences the investment policy of the bank. The nature and availability of funds also differ widely from one region to another within the country. For example, scope of bank operating in Jumla will be different from the scope of a bank operating in Kathmandu. Therefore, the investment policy to be applied in Kathmandu may not be applicable to the bank operating in Jumal.” (Baidya1999; 46-47)</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p>
    <w:p w:rsidR="00D87763"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Investment can be categorized into Real Investment and Financial Investment. In primitive economy most investment is of the real variety whereas in modern economy, most investment is of the financial variety</w:t>
      </w:r>
    </w:p>
    <w:p w:rsidR="00D87763" w:rsidRPr="00111B84" w:rsidRDefault="00D87763"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b/>
          <w:bCs/>
          <w:sz w:val="24"/>
          <w:szCs w:val="24"/>
        </w:rPr>
        <w:t>2.2.3</w:t>
      </w:r>
      <w:r w:rsidRPr="00111B84">
        <w:rPr>
          <w:rFonts w:ascii="Times New Roman" w:hAnsi="Times New Roman" w:cs="Times New Roman"/>
          <w:b/>
          <w:bCs/>
          <w:sz w:val="24"/>
          <w:szCs w:val="24"/>
        </w:rPr>
        <w:tab/>
        <w:t>Principle of a Good Investment Policy:</w:t>
      </w:r>
    </w:p>
    <w:p w:rsidR="007A77CE" w:rsidRDefault="007A77CE" w:rsidP="00D25535">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 choosing spec</w:t>
      </w:r>
      <w:r w:rsidR="00577E67" w:rsidRPr="00111B84">
        <w:rPr>
          <w:rFonts w:ascii="Times New Roman" w:hAnsi="Times New Roman" w:cs="Times New Roman"/>
          <w:sz w:val="24"/>
          <w:szCs w:val="24"/>
        </w:rPr>
        <w:t xml:space="preserve">ific investment, investors should be </w:t>
      </w:r>
      <w:r w:rsidRPr="00111B84">
        <w:rPr>
          <w:rFonts w:ascii="Times New Roman" w:hAnsi="Times New Roman" w:cs="Times New Roman"/>
          <w:sz w:val="24"/>
          <w:szCs w:val="24"/>
        </w:rPr>
        <w:t>need</w:t>
      </w:r>
      <w:r w:rsidR="00577E67" w:rsidRPr="00111B84">
        <w:rPr>
          <w:rFonts w:ascii="Times New Roman" w:hAnsi="Times New Roman" w:cs="Times New Roman"/>
          <w:sz w:val="24"/>
          <w:szCs w:val="24"/>
        </w:rPr>
        <w:t>ed</w:t>
      </w:r>
      <w:r w:rsidRPr="00111B84">
        <w:rPr>
          <w:rFonts w:ascii="Times New Roman" w:hAnsi="Times New Roman" w:cs="Times New Roman"/>
          <w:sz w:val="24"/>
          <w:szCs w:val="24"/>
        </w:rPr>
        <w:t xml:space="preserve"> define ideas regarding a number of features that their portfolios should possess. These features should be consistent with the investor’s general objectives and in addition, should afford them all the incidental conveniences and advantages, which are possible in their circumstances. The following are the suggested feature as the ingredient from which many investors compounded their selection policies.</w:t>
      </w:r>
    </w:p>
    <w:p w:rsidR="00D25535" w:rsidRPr="00111B84" w:rsidRDefault="00D25535" w:rsidP="00D25535">
      <w:pPr>
        <w:tabs>
          <w:tab w:val="left" w:pos="360"/>
          <w:tab w:val="left" w:pos="45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1"/>
        </w:numPr>
        <w:spacing w:after="0" w:line="360" w:lineRule="auto"/>
        <w:ind w:left="18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Principle of safety:</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The safety sought in investment is not absolute or completes the word means rather protection against loss under reasonable likely. It calls for careful review of economic and industrial trends before choosing any type of investments or the time to invest.</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0"/>
          <w:numId w:val="11"/>
        </w:numPr>
        <w:spacing w:after="0" w:line="360" w:lineRule="auto"/>
        <w:ind w:left="18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Capital appreciation:</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Capital appreciation has today become an important principle. Recognizing the connection between corporation and industry growth and very large capital appreciation, investor and their advisors constantly are seeking “growth stock”. It is exceeding difficulty to make successful choice. The ideal “growth stock” is the right issue in the right industry, bought at the right time. (V.K. Bhalla; 1983)</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0"/>
          <w:numId w:val="11"/>
        </w:numPr>
        <w:spacing w:after="0" w:line="360" w:lineRule="auto"/>
        <w:ind w:left="18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 xml:space="preserve"> Adequate liquidity and collateral value:</w:t>
      </w:r>
    </w:p>
    <w:p w:rsidR="007A77CE"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An investment is a liquid asset if it can be converted into cash without delay at full market value in any quantity. For an investment to be liquid it must be reversible or marketable. The difference between reversible and marketability is that reversibility is the process whereby the transaction is reversed or terminated while marketability involves the sale of the investment in the market for cash. To meet the emergencies, every investor must have a sound portfolio to be cure for the additional funds, which may be needed for the business opportunities. Whether money is rising is to be done by sale or by borrowing it will be easier if the portfolio contains a planned proportion of higher grade and readily saleable investment.</w:t>
      </w:r>
    </w:p>
    <w:p w:rsidR="00111B84" w:rsidRPr="00111B84" w:rsidRDefault="00111B84" w:rsidP="00D25535">
      <w:pPr>
        <w:pStyle w:val="ListParagraph"/>
        <w:tabs>
          <w:tab w:val="left" w:pos="360"/>
          <w:tab w:val="left" w:pos="45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0"/>
          <w:numId w:val="11"/>
        </w:numPr>
        <w:spacing w:after="0" w:line="360" w:lineRule="auto"/>
        <w:ind w:left="18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Purchasing power stability:</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Since an investment nearly always involves the commitment of current funds with the objective of the investor should consider receiving greater amounts of future funds, the purchasing power of future funds. For maintaining purchasing power stability, investors should carefully study the degree of price level inflation they accept, the possibility of gain and loss in the investment available to them and the limitation imposed by personal and family considerations.</w:t>
      </w:r>
    </w:p>
    <w:p w:rsidR="007A77CE" w:rsidRPr="00111B84" w:rsidRDefault="007A77CE" w:rsidP="00D25535">
      <w:pPr>
        <w:pStyle w:val="ListParagraph"/>
        <w:tabs>
          <w:tab w:val="left" w:pos="360"/>
          <w:tab w:val="left" w:pos="450"/>
        </w:tabs>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0"/>
          <w:numId w:val="11"/>
        </w:numPr>
        <w:spacing w:after="0" w:line="360" w:lineRule="auto"/>
        <w:ind w:left="18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Diversification:</w:t>
      </w:r>
    </w:p>
    <w:p w:rsidR="007A77CE" w:rsidRPr="00111B84" w:rsidRDefault="007A77CE" w:rsidP="00D25535">
      <w:pPr>
        <w:pStyle w:val="ListParagraph"/>
        <w:tabs>
          <w:tab w:val="left" w:pos="195"/>
          <w:tab w:val="left" w:pos="3210"/>
        </w:tabs>
        <w:spacing w:after="0" w:line="360" w:lineRule="auto"/>
        <w:ind w:left="0"/>
        <w:jc w:val="both"/>
        <w:rPr>
          <w:rFonts w:ascii="Times New Roman" w:hAnsi="Times New Roman" w:cs="Times New Roman"/>
          <w:b/>
          <w:bCs/>
          <w:sz w:val="24"/>
          <w:szCs w:val="24"/>
        </w:rPr>
      </w:pPr>
      <w:r w:rsidRPr="00111B84">
        <w:rPr>
          <w:rFonts w:ascii="Times New Roman" w:hAnsi="Times New Roman" w:cs="Times New Roman"/>
          <w:sz w:val="24"/>
          <w:szCs w:val="24"/>
        </w:rPr>
        <w:t>A bank should not put all its eggs on the same basket. This saying is very important to the bank and it should always be careful not to grant loan in only one sector. To minimize risk, a bank must diversify its investment on different sectors. Diversification of loan helps to sustain loss according to the law of average because if securities of a company deprived, there may be appreciation in the securities of other companies. In this way the loss can be minimized or recovered.</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2.2.4   Profitability of Bank:</w:t>
      </w:r>
    </w:p>
    <w:p w:rsidR="007A77CE"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Gross income of commercial banks is determined by the rate of return on loan and investments, by the level of various fees and charges imposed for the performance of certain service, and by the size and composition of assets. </w:t>
      </w:r>
      <w:proofErr w:type="gramStart"/>
      <w:r w:rsidRPr="00111B84">
        <w:rPr>
          <w:rFonts w:ascii="Times New Roman" w:hAnsi="Times New Roman" w:cs="Times New Roman"/>
          <w:sz w:val="24"/>
          <w:szCs w:val="24"/>
        </w:rPr>
        <w:t>Interest from loans and investments accounts for almost 90 percent of bank operating income.</w:t>
      </w:r>
      <w:proofErr w:type="gramEnd"/>
      <w:r w:rsidRPr="00111B84">
        <w:rPr>
          <w:rFonts w:ascii="Times New Roman" w:hAnsi="Times New Roman" w:cs="Times New Roman"/>
          <w:sz w:val="24"/>
          <w:szCs w:val="24"/>
        </w:rPr>
        <w:t xml:space="preserve"> (Reed/Cotter/ Gill/ Smith; 1978)</w:t>
      </w:r>
    </w:p>
    <w:p w:rsidR="00D25535" w:rsidRPr="00111B84" w:rsidRDefault="00D25535"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lending function is the single most important sources of gross income for commercial banks. In recent years, income from “interest and fees” on loans plus “income in federal funds sold and securities purchased with resale agreement” have accounted for approximately 70 percent of total operating income. Income from these sources has substantially increased over the years because of the increase in the volumes of loans outstanding and the rise in interest rates. (Reed/Cotter/ Gill/ Smith; 1978:415)</w:t>
      </w:r>
    </w:p>
    <w:p w:rsidR="007A77CE" w:rsidRDefault="007A77CE" w:rsidP="00D25535">
      <w:pPr>
        <w:tabs>
          <w:tab w:val="left" w:pos="195"/>
          <w:tab w:val="left" w:pos="3210"/>
        </w:tabs>
        <w:spacing w:after="0" w:line="360" w:lineRule="auto"/>
        <w:jc w:val="both"/>
        <w:rPr>
          <w:rFonts w:ascii="Times New Roman" w:hAnsi="Times New Roman" w:cs="Times New Roman"/>
          <w:sz w:val="24"/>
          <w:szCs w:val="24"/>
        </w:rPr>
      </w:pPr>
    </w:p>
    <w:p w:rsidR="00B5238C" w:rsidRDefault="00B5238C" w:rsidP="00D25535">
      <w:pPr>
        <w:tabs>
          <w:tab w:val="left" w:pos="195"/>
          <w:tab w:val="left" w:pos="3210"/>
        </w:tabs>
        <w:spacing w:after="0" w:line="360" w:lineRule="auto"/>
        <w:jc w:val="both"/>
        <w:rPr>
          <w:rFonts w:ascii="Times New Roman" w:hAnsi="Times New Roman" w:cs="Times New Roman"/>
          <w:sz w:val="24"/>
          <w:szCs w:val="24"/>
        </w:rPr>
      </w:pPr>
    </w:p>
    <w:p w:rsidR="00B5238C" w:rsidRPr="00111B84" w:rsidRDefault="00B5238C"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sz w:val="24"/>
          <w:szCs w:val="24"/>
        </w:rPr>
      </w:pPr>
      <w:r w:rsidRPr="00111B84">
        <w:rPr>
          <w:rFonts w:ascii="Times New Roman" w:hAnsi="Times New Roman" w:cs="Times New Roman"/>
          <w:b/>
          <w:bCs/>
          <w:sz w:val="24"/>
          <w:szCs w:val="24"/>
        </w:rPr>
        <w:lastRenderedPageBreak/>
        <w:t>2.2.5   Liquidity Management:</w:t>
      </w:r>
    </w:p>
    <w:p w:rsidR="007A77CE"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Demand deposits, which represent the major proportion of bank liabilities, constitute nearly 80 percent of nation’s money supply. Each bank must maintain substantial part of its assets in cash or in assets that can be converted into cash quickly. How much liquidity to hold and in what form to hold it are a constant concern of bank management. Bank needs liquidity to meet seasonal and unexpected loan demands and deposit fluctuation. Cash reserves also are needed to take advantage of unexpected profit opportunities or for what might be termed aggressive purpose. </w:t>
      </w:r>
    </w:p>
    <w:p w:rsidR="00111B84" w:rsidRPr="00111B84" w:rsidRDefault="00111B84"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use of the loan to deposit ratio as a measure of liquidity is based on the premise that loans are the most non liquid of bank earning assets. Therefore, as the portion of deposits invested in loans rises, liquidity declines. The loan to deposit ratio as a measure of liquidity has some limitation in that it tells us nothing about the maturity or quality of the loan portfolio. The loan to deposit ratio gives no indication of liquidity needs, the loan to deposit ratio dies not provide information concerning the nature of bank assets outside the loan portfolio.</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2.2.6   Liquidity Measurement:</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 standard for liquidity is difficult to determine since future demand are not known. To obtain a realistic appraisal of a banks liquidity position would require an accurate forecast of cash needs and the expected level of liquid assets and receipts of cash over a given period of time. In other words a meaningful measure of liquidity would incorporate the flow sure are gauged from the stock concept. One of these measures is the ratio of loans to deposit. When the ratio rise to relatively high level, becomes more sensitive and as standards is increased and credit is more strictly allocated interest rates tend to rise.</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 xml:space="preserve">2.2.7   </w:t>
      </w:r>
      <w:r w:rsidR="00111B84">
        <w:rPr>
          <w:rFonts w:ascii="Times New Roman" w:hAnsi="Times New Roman" w:cs="Times New Roman"/>
          <w:b/>
          <w:bCs/>
          <w:sz w:val="24"/>
          <w:szCs w:val="24"/>
        </w:rPr>
        <w:tab/>
      </w:r>
      <w:r w:rsidRPr="00111B84">
        <w:rPr>
          <w:rFonts w:ascii="Times New Roman" w:hAnsi="Times New Roman" w:cs="Times New Roman"/>
          <w:b/>
          <w:bCs/>
          <w:sz w:val="24"/>
          <w:szCs w:val="24"/>
        </w:rPr>
        <w:t>Asset Management:</w:t>
      </w:r>
    </w:p>
    <w:p w:rsidR="007A77CE"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Asset management is the term used to describe the allocation of funds among investment alternatives. It is applied to commercial banking, the term loans and other assets. Specialized areas of asset management include liquidity, portfolio sand loan management. The management of funds in commercial banking however is complicated by several factors. First, as banks are the most regulated of all the business enterprises, funds must be managed within the legal and regulatory </w:t>
      </w:r>
      <w:r w:rsidRPr="00111B84">
        <w:rPr>
          <w:rFonts w:ascii="Times New Roman" w:hAnsi="Times New Roman" w:cs="Times New Roman"/>
          <w:sz w:val="24"/>
          <w:szCs w:val="24"/>
        </w:rPr>
        <w:lastRenderedPageBreak/>
        <w:t>framework established by statutory and supervisory authorities. Second, the relationship between a bank and its loan and deposit customers is one of trust as well as accommodation. Finally, the stockholders commercial banks, like other investors, require a rate of return commensurate with the risk of the investment and competitive with the return available on similar investments.</w:t>
      </w:r>
    </w:p>
    <w:p w:rsidR="00D25535" w:rsidRPr="00111B84" w:rsidRDefault="00D25535"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effects of legal and regulatory provisions on commercial bank asset management may be classified as those that specify how a part of a bank’s assets must be invested and those that limit the use of funds in certain types of assets. </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2.2.8   Assets and Liabilities of a Commercial Bank:</w:t>
      </w:r>
    </w:p>
    <w:p w:rsidR="007A77CE"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Vaidya (1997) points on that the details of the Assets and Liabilities of commercial banks are mentioned in the balance sheet of the respective commercial banks. The assets and liabilities of a commercial bank reflect their financial position. The essence of Banking, accepting deposits and distributing credit, the outcome of both of this phenomenon affect the balance sheet because the bulk of the liability side is comprised of deposits and that of the asset side is occupied by disturbed loans. The C/D ratio, the ratio of credit to the deposits determines the level of profit for the commercial banks. Higher C/D ratio means effective mobilization of funds and this in turn means profitability.</w:t>
      </w:r>
    </w:p>
    <w:p w:rsidR="00D25535" w:rsidRPr="00111B84" w:rsidRDefault="00D25535"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Therefore, the balance sheet shows how well bank has been able to mobilize the funds. Besides, there are some other factors that can be observer through a balance sheet such as capital, the reserves, the amount invested on fixed assets. Hence, it is utmost important to know about the items of the balance sheet of a commercial bank before analyzing the impact of the directives on such items. The very important items of the balance sheet of a commercial bank are as follows:</w:t>
      </w:r>
    </w:p>
    <w:p w:rsidR="007A77CE" w:rsidRPr="00111B84" w:rsidRDefault="007A77CE" w:rsidP="00D25535">
      <w:pPr>
        <w:tabs>
          <w:tab w:val="left" w:pos="195"/>
          <w:tab w:val="left" w:pos="3210"/>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3"/>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Assets:</w:t>
      </w: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Cash:</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Cash is the liquid form of an asset of the commercial bank. There can be three reservoirs of cash, the bank vault, the reserve maintained with the central bank and the deposits in other commercial banks. One of the major functions of commercial bank is to accept the deposits and provide loans to its customers. In between, another very </w:t>
      </w:r>
      <w:r w:rsidRPr="00111B84">
        <w:rPr>
          <w:rFonts w:ascii="Times New Roman" w:hAnsi="Times New Roman" w:cs="Times New Roman"/>
          <w:sz w:val="24"/>
          <w:szCs w:val="24"/>
        </w:rPr>
        <w:lastRenderedPageBreak/>
        <w:t>important function, entertaining the cheques presented to the bank for withdrawal of the deposits. Therefore, the bank needs to maintain a certain level of cash with it so that it can make payments of the cheques presented in its counters. For the same the bank needs to keep certain amount of the deposits as cash in vault. However the banks always try to minimize the amount of cash and rather invest the amount exceeding the minimum requirement so that that can earn and make money.</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Bills discounted and Purchased:</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There are normally in three forms, the promissory notes, the bills of exchange and the treasury bills. All of these are negotiable and can be easily bought and sold. These financial instruments of the banks generate income. They are safe in the sense most of them can be further presented to the central bank for rediscounting. Therefore commercial banks prefer to have these assets as they are supposed to be the ideal assets with safety, liquidity and profitability.</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Investments: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generates more income than cash and bills but is less profitable compared to loans and advances. Banks mainly investment on government securities and some gilt edged securities so that they can easily converted into cash as and when required. The amount of investment of banks on such securities increases at times of slack economy when the credit disbursement is on a decline and they sell the securities when the demand for loans and advances increases.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Loans and Advances, Cash Credits and Overdrafts :</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Loans and advances are the major source of revenues for the commercial banks. Banks enjoy the interests on the loans and advances made by it, which normally is greater than the interest paid by it to the depositors and thereby make profit. However, loans and advances are not made to all those seeking for it. </w:t>
      </w:r>
      <w:proofErr w:type="gramStart"/>
      <w:r w:rsidRPr="00111B84">
        <w:rPr>
          <w:rFonts w:ascii="Times New Roman" w:hAnsi="Times New Roman" w:cs="Times New Roman"/>
          <w:sz w:val="24"/>
          <w:szCs w:val="24"/>
        </w:rPr>
        <w:t>Banks analysis various factors before they advance loans and advances.</w:t>
      </w:r>
      <w:proofErr w:type="gramEnd"/>
      <w:r w:rsidRPr="00111B84">
        <w:rPr>
          <w:rFonts w:ascii="Times New Roman" w:hAnsi="Times New Roman" w:cs="Times New Roman"/>
          <w:sz w:val="24"/>
          <w:szCs w:val="24"/>
        </w:rPr>
        <w:t xml:space="preserve"> The main characteristics that a bank expects to be in its borrowers are character, capital and capacity. </w:t>
      </w:r>
    </w:p>
    <w:p w:rsidR="00111B84" w:rsidRDefault="00111B84"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Fixed Assets :</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Furniture and office premises owned by the bank comprise fixed assets of a bank. They cannot be converted on cash easily. They are normally owned by the bank so as </w:t>
      </w:r>
      <w:r w:rsidRPr="00111B84">
        <w:rPr>
          <w:rFonts w:ascii="Times New Roman" w:hAnsi="Times New Roman" w:cs="Times New Roman"/>
          <w:sz w:val="24"/>
          <w:szCs w:val="24"/>
        </w:rPr>
        <w:lastRenderedPageBreak/>
        <w:t>to avoid rental costs. Depreciation is charged against each these assets every year at different rates depending on the type of asset.</w:t>
      </w:r>
    </w:p>
    <w:p w:rsidR="00111B84" w:rsidRPr="00111B84" w:rsidRDefault="00111B84"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2"/>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Other Assets: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Other assets of banks include valuable metals such as gold and silver, prepaid expenses, development expenses and accrued interests on investments.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3"/>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Liabilities :</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Liabilities of a bank are the main sources of fund of the bank and mainly include the following:</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Capital :</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When talked of a capital the authorized capital is the maximum amount that a bank may issue during the course of its operation and is mentioned in the Memorandum of Association of the bank. The issued capital is that portion of the capital which is issued by the bank to the public for subscription. The subscribed capital is the amount of capital subscribed by the general public. It can either be whole or just a part or the issued capital. Called Up capital is the amount of capital that the shareholders need to pay. The Paid Up capital already paid up by the shareholders. This is the only cash that have been realized by the bank. The differences between the Called Up capital and the Paid up capital are the Uncalled Capital.</w:t>
      </w:r>
    </w:p>
    <w:p w:rsidR="00025DCA" w:rsidRDefault="00025DCA"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 xml:space="preserve">Reserve Fund: </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banks always keep aside part of the profit they make as reserves. These reserves are mainly kept by the banks to meet some uncertain contingent liabilities of the future. They provide security, not only to the shareholders but also to the depositors. There are various types of reserves, for instance, the exchange equalization fund, which is the reserve made out of profit made from the revaluation of foreign exchange during the previous years, and kept in order to meet the contingent losses, if any, to be confronted in future due to subsequent revaluation.</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Deposits: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deposits of the bank constitute major portion of the bank’s liability. They are the main source of fund for the banks. The success of a bank highly depends on its ability </w:t>
      </w:r>
      <w:r w:rsidRPr="00111B84">
        <w:rPr>
          <w:rFonts w:ascii="Times New Roman" w:hAnsi="Times New Roman" w:cs="Times New Roman"/>
          <w:sz w:val="24"/>
          <w:szCs w:val="24"/>
        </w:rPr>
        <w:lastRenderedPageBreak/>
        <w:t>to attract deposits at low interest rates and mobilize it to earn the maximum. There are mainly three types of deposits, the fixed deposit, the saving deposits and the current deposits. The fixed deposits are made by the costumers for a fixed period of time and have the highest interest rates compared to saving and current deposits. The saving deposits can be withdrawn at any times but sometimes carry restrictions on the amount that can be withdrawn and the interest rate to be paid by the bank is not as high as that of fixed deposits. The current deposits carry no interest and are mainly maintained by business houses and industries so that they can withdraw the money any time they prefer.</w:t>
      </w:r>
    </w:p>
    <w:p w:rsidR="007A77CE"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Bills for Collection:</w:t>
      </w:r>
    </w:p>
    <w:p w:rsidR="00577E67"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banks receive bills from customers against which payment have to made. However, the banks charge certain amount of commission on the bills collected on behalf of its customers.</w:t>
      </w:r>
    </w:p>
    <w:p w:rsidR="005B5B7F" w:rsidRPr="00111B84" w:rsidRDefault="005B5B7F"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Borrowings: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Banks borrow funds from the central bank and other banks from time to time. All such funds are included in the liability side of the balance sheet under the head ‘borrowings’. They constitute small portion of the total liability of the bank.</w:t>
      </w:r>
    </w:p>
    <w:p w:rsidR="005B5B7F" w:rsidRPr="00111B84" w:rsidRDefault="005B5B7F"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14"/>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Other Liabilities:</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Other liabilities include pension funds, staff bonus, unpaid dividends and insurance fund.</w:t>
      </w:r>
    </w:p>
    <w:p w:rsidR="00D25535" w:rsidRPr="00111B84" w:rsidRDefault="00D25535" w:rsidP="00D25535">
      <w:pPr>
        <w:spacing w:after="0" w:line="360" w:lineRule="auto"/>
        <w:jc w:val="both"/>
        <w:rPr>
          <w:rFonts w:ascii="Times New Roman" w:hAnsi="Times New Roman" w:cs="Times New Roman"/>
          <w:sz w:val="24"/>
          <w:szCs w:val="24"/>
        </w:rPr>
      </w:pPr>
    </w:p>
    <w:p w:rsidR="00D25535"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2.3</w:t>
      </w:r>
      <w:r w:rsidRPr="00111B84">
        <w:rPr>
          <w:rFonts w:ascii="Times New Roman" w:hAnsi="Times New Roman" w:cs="Times New Roman"/>
          <w:b/>
          <w:bCs/>
          <w:sz w:val="24"/>
          <w:szCs w:val="24"/>
        </w:rPr>
        <w:tab/>
        <w:t>Review of Related Studies:</w:t>
      </w:r>
    </w:p>
    <w:p w:rsidR="005B5B7F"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2.3</w:t>
      </w:r>
      <w:r w:rsidR="005B5B7F" w:rsidRPr="00111B84">
        <w:rPr>
          <w:rFonts w:ascii="Times New Roman" w:hAnsi="Times New Roman" w:cs="Times New Roman"/>
          <w:b/>
          <w:bCs/>
          <w:sz w:val="24"/>
          <w:szCs w:val="24"/>
        </w:rPr>
        <w:t xml:space="preserve">.1 </w:t>
      </w:r>
      <w:r w:rsidRPr="00111B84">
        <w:rPr>
          <w:rFonts w:ascii="Times New Roman" w:hAnsi="Times New Roman" w:cs="Times New Roman"/>
          <w:b/>
          <w:bCs/>
          <w:sz w:val="24"/>
          <w:szCs w:val="24"/>
        </w:rPr>
        <w:t>Review of Articles:</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 this section, effort has been made to examine and review of some of related articles in different economic journals, World Bank discussion papers, magazines, newspapers and other related books and publications.</w:t>
      </w:r>
    </w:p>
    <w:p w:rsidR="00D25535" w:rsidRPr="00111B84" w:rsidRDefault="00D25535" w:rsidP="00D25535">
      <w:pPr>
        <w:spacing w:after="0" w:line="360" w:lineRule="auto"/>
        <w:jc w:val="both"/>
        <w:rPr>
          <w:rFonts w:ascii="Times New Roman" w:hAnsi="Times New Roman" w:cs="Times New Roman"/>
          <w:b/>
          <w:bCs/>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Dr Bijay K.C has presented an article about the “Strategies for reducing Non Performing loan in Nepal”. According to him, rising amount of non-performing loan is generally considered a sign of inefficiently in the financial system. It shows that the financial system has failed to divert funds to productive uses. While it may not be </w:t>
      </w:r>
      <w:r w:rsidRPr="00111B84">
        <w:rPr>
          <w:rFonts w:ascii="Times New Roman" w:hAnsi="Times New Roman" w:cs="Times New Roman"/>
          <w:sz w:val="24"/>
          <w:szCs w:val="24"/>
        </w:rPr>
        <w:lastRenderedPageBreak/>
        <w:t>possible to complete eliminate non performing loans from a financial system they should be controlled and put within an acceptable range. Of late, many countries have faced the problem of nonperforming loans and some of them have taken drastic steps to control them. (K.C; 2005)</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above journals focus in the various aspects of the banks to reduce non performing loans and such strategy may include the following;</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7"/>
        </w:numPr>
        <w:spacing w:after="0" w:line="360" w:lineRule="auto"/>
        <w:ind w:left="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Debt recovery tribunals</w:t>
      </w:r>
    </w:p>
    <w:p w:rsidR="007A77CE" w:rsidRPr="00111B84" w:rsidRDefault="007A77CE" w:rsidP="00D25535">
      <w:pPr>
        <w:pStyle w:val="ListParagraph"/>
        <w:numPr>
          <w:ilvl w:val="0"/>
          <w:numId w:val="7"/>
        </w:numPr>
        <w:spacing w:after="0" w:line="360" w:lineRule="auto"/>
        <w:ind w:left="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Assets management company</w:t>
      </w:r>
    </w:p>
    <w:p w:rsidR="007A77CE" w:rsidRPr="00111B84" w:rsidRDefault="007A77CE" w:rsidP="00D25535">
      <w:pPr>
        <w:pStyle w:val="ListParagraph"/>
        <w:numPr>
          <w:ilvl w:val="0"/>
          <w:numId w:val="7"/>
        </w:numPr>
        <w:spacing w:after="0" w:line="360" w:lineRule="auto"/>
        <w:ind w:left="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Bankruptcy Act</w:t>
      </w:r>
    </w:p>
    <w:p w:rsidR="007A77CE" w:rsidRPr="00111B84" w:rsidRDefault="007A77CE" w:rsidP="00D25535">
      <w:pPr>
        <w:pStyle w:val="ListParagraph"/>
        <w:numPr>
          <w:ilvl w:val="0"/>
          <w:numId w:val="7"/>
        </w:numPr>
        <w:spacing w:after="0" w:line="360" w:lineRule="auto"/>
        <w:ind w:left="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Black listing and classification of defaulter</w:t>
      </w:r>
    </w:p>
    <w:p w:rsidR="007A77CE" w:rsidRPr="00111B84" w:rsidRDefault="007A77CE" w:rsidP="00D25535">
      <w:pPr>
        <w:pStyle w:val="ListParagraph"/>
        <w:numPr>
          <w:ilvl w:val="0"/>
          <w:numId w:val="7"/>
        </w:numPr>
        <w:spacing w:after="0" w:line="360" w:lineRule="auto"/>
        <w:ind w:left="0" w:firstLine="0"/>
        <w:contextualSpacing w:val="0"/>
        <w:jc w:val="both"/>
        <w:rPr>
          <w:rFonts w:ascii="Times New Roman" w:hAnsi="Times New Roman" w:cs="Times New Roman"/>
          <w:sz w:val="24"/>
          <w:szCs w:val="24"/>
        </w:rPr>
      </w:pPr>
      <w:r w:rsidRPr="00111B84">
        <w:rPr>
          <w:rFonts w:ascii="Times New Roman" w:hAnsi="Times New Roman" w:cs="Times New Roman"/>
          <w:sz w:val="24"/>
          <w:szCs w:val="24"/>
        </w:rPr>
        <w:t>Enforcement of rules and regulations</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Krishna D. Bhattarai has presented an article about the “Non- Performing Assets Management”. According to him, a loan is very easy term for borrower when he has already taken for a lender not availed. It is equally difficult for a borrower to avail and for lender to recover. From, a bankers view, it is just like a stone to roll down from the top of the hill while sanctioning, but too difficult to roll  back the same stone to the top of the hill while recovering. A loan not recovered within given time frame either in the form of interest servicing or principal repayment is called Non- Performing Loan (NPL). There are other parameters as well to quantify an NPL. Security not to the extent of loan amount with specified safety margin, value of security not realizable, possession not as per the requirement of bank, conflict of charges are the other reasons which causes difficulties while recovering the loan. (Bhattarai: 2003)</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According to him, an important discipline in banking to prevent whole NPL or avoid situations for a loan to turn into NPL. The loan for a bank is most important to generate revenue for operational expenses as well as to provide return to the shareholders.</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When a loan advanced from good money turns into a bad loan the chance of shareholders return as well as survival of a bank stands a stake. And finally the public </w:t>
      </w:r>
      <w:r w:rsidRPr="00111B84">
        <w:rPr>
          <w:rFonts w:ascii="Times New Roman" w:hAnsi="Times New Roman" w:cs="Times New Roman"/>
          <w:sz w:val="24"/>
          <w:szCs w:val="24"/>
        </w:rPr>
        <w:lastRenderedPageBreak/>
        <w:t>start losing their confidence on the bank and don’t keep their deposit in the bank and eventually the bank will start counting its finger for collapse.</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Dr. Sunity Shrestha on her article, “Lending operation of commercial banks of Nepal and its impact on GDP”, has presented with the objectives to make an analysis of contribution of commercial banks lending to the gross domestic product (GDP) of Nepal. Thus in conclusion she has accepted the hypothesis i.e. there has been positive impact on GDP. She has accepted that there has been positive impact of the lending of commercial banks in various sectors of economy except service sector investment. (Dr. Shrestha; 1998: 23-27)</w:t>
      </w:r>
    </w:p>
    <w:p w:rsidR="007A77CE" w:rsidRPr="00111B84" w:rsidRDefault="007A77CE" w:rsidP="00D25535">
      <w:pPr>
        <w:pStyle w:val="ListParagraph"/>
        <w:spacing w:after="0" w:line="360" w:lineRule="auto"/>
        <w:ind w:left="0"/>
        <w:jc w:val="both"/>
        <w:rPr>
          <w:rFonts w:ascii="Times New Roman" w:hAnsi="Times New Roman" w:cs="Times New Roman"/>
          <w:b/>
          <w:bCs/>
          <w:sz w:val="24"/>
          <w:szCs w:val="24"/>
        </w:rPr>
      </w:pPr>
    </w:p>
    <w:p w:rsidR="007A77CE" w:rsidRPr="00111B84" w:rsidRDefault="007A77CE" w:rsidP="00D25535">
      <w:pPr>
        <w:pStyle w:val="ListParagraph"/>
        <w:numPr>
          <w:ilvl w:val="2"/>
          <w:numId w:val="15"/>
        </w:numPr>
        <w:spacing w:after="0" w:line="360" w:lineRule="auto"/>
        <w:ind w:left="0" w:firstLine="0"/>
        <w:contextualSpacing w:val="0"/>
        <w:jc w:val="both"/>
        <w:rPr>
          <w:rFonts w:ascii="Times New Roman" w:hAnsi="Times New Roman" w:cs="Times New Roman"/>
          <w:b/>
          <w:bCs/>
          <w:sz w:val="24"/>
          <w:szCs w:val="24"/>
        </w:rPr>
      </w:pPr>
      <w:r w:rsidRPr="00111B84">
        <w:rPr>
          <w:rFonts w:ascii="Times New Roman" w:hAnsi="Times New Roman" w:cs="Times New Roman"/>
          <w:b/>
          <w:bCs/>
          <w:sz w:val="24"/>
          <w:szCs w:val="24"/>
        </w:rPr>
        <w:t>Review of Master’s Degree Thesis:</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Before this, several thesis works have been concluded by various students regarding the various aspects of commercial banks such as financial performance, lending policy, investment policy, interest rate structure, etc. some of them, as supposed to be relevant for the study are presented below:</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b/>
          <w:bCs/>
          <w:sz w:val="24"/>
          <w:szCs w:val="24"/>
        </w:rPr>
        <w:t>Lila Prasad Ojha (2002</w:t>
      </w:r>
      <w:proofErr w:type="gramStart"/>
      <w:r w:rsidRPr="00111B84">
        <w:rPr>
          <w:rFonts w:ascii="Times New Roman" w:hAnsi="Times New Roman" w:cs="Times New Roman"/>
          <w:b/>
          <w:bCs/>
          <w:sz w:val="24"/>
          <w:szCs w:val="24"/>
        </w:rPr>
        <w:t>),</w:t>
      </w:r>
      <w:proofErr w:type="gramEnd"/>
      <w:r w:rsidRPr="00111B84">
        <w:rPr>
          <w:rFonts w:ascii="Times New Roman" w:hAnsi="Times New Roman" w:cs="Times New Roman"/>
          <w:b/>
          <w:bCs/>
          <w:sz w:val="24"/>
          <w:szCs w:val="24"/>
        </w:rPr>
        <w:t xml:space="preserve"> </w:t>
      </w:r>
      <w:r w:rsidRPr="00111B84">
        <w:rPr>
          <w:rFonts w:ascii="Times New Roman" w:hAnsi="Times New Roman" w:cs="Times New Roman"/>
          <w:sz w:val="24"/>
          <w:szCs w:val="24"/>
        </w:rPr>
        <w:t>conducted a study on “Lending practices: A study on NABIL Bank Ltd., SCB Nepal ltd, and Himalayan bank Ltd.” Mr. Ojha has found out that the measurement of liquidity has revealed that the mean current ratio of all the three banks is not widely varied. All of them are capable in discharging their current liability by current assets. The ratio of investment on loans and advances has measured the total portion of investment in total of investment and loan and advances. The mean ratio among the banks does not have deviated significantly.</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The absolute measures of leading strength have revealed that the mean volume of net assets and deposit is higher in SCBNL with moderate variation. The volume of net assets of Himalayan Bank Ltd. is the least due to the low share of capital, reserves &amp;surplus in its capital mix. But the volume contributed by Himalayan Bank Ltd. In case of loan &amp; advances is highly appreciable compared to its </w:t>
      </w:r>
      <w:proofErr w:type="gramStart"/>
      <w:r w:rsidRPr="00111B84">
        <w:rPr>
          <w:rFonts w:ascii="Times New Roman" w:hAnsi="Times New Roman" w:cs="Times New Roman"/>
          <w:sz w:val="24"/>
          <w:szCs w:val="24"/>
        </w:rPr>
        <w:t>assets.</w:t>
      </w:r>
      <w:proofErr w:type="gramEnd"/>
      <w:r w:rsidRPr="00111B84">
        <w:rPr>
          <w:rFonts w:ascii="Times New Roman" w:hAnsi="Times New Roman" w:cs="Times New Roman"/>
          <w:sz w:val="24"/>
          <w:szCs w:val="24"/>
        </w:rPr>
        <w:t xml:space="preserve"> The volume of loan &amp; advances contributed by NABIL Bank Ltd. is the greatest in final years of study period. The mean investment of NABIL Bank Ltd. is the highest but the investment on government securities of SCBNL is the highest.</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lastRenderedPageBreak/>
        <w:t>The portfolio analysis has revealed that the flow of loan &amp; advances in agriculture sector is the lowest priority sector among these commercial banks. The contribution of all banks in industrial sector is appreciable. The contribution made by Himalayan Bank Ltd. In industrial sector is greatest that of SCBNL is the least. The mean ratio of interest income to total income has concluded that the contribution of interest in total income is higher in case of Himalayan Bank ltd. and lower in case of SCBNL. The interest expenses to the total deposits ratio indicate that the cost of fund in Himalayan Bank Ltd. is highest and that of SCBNL is the least.</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b/>
          <w:bCs/>
          <w:sz w:val="24"/>
          <w:szCs w:val="24"/>
        </w:rPr>
        <w:t>Sabitri Shrestha (2003)</w:t>
      </w:r>
      <w:r w:rsidRPr="00111B84">
        <w:rPr>
          <w:rFonts w:ascii="Times New Roman" w:hAnsi="Times New Roman" w:cs="Times New Roman"/>
          <w:sz w:val="24"/>
          <w:szCs w:val="24"/>
        </w:rPr>
        <w:t>, in her thesis paper “Impact and implementation of NRB Guidelines (Directives on Commercial Banks-  A study of Nabil Bank limited and Nepal SBI bank Limited) found out that both the Nabil Bank and Nepal SBI Bank have been fully implementing the NRB’s directives. Capital Adequacy Ratio of Nabil and Nepal SBI are 13.40% and 12.86% respectively which are more than 9%. Banks are following the directives but in some cases such like supplementary capital and balance at NRB there is shortfalls. The excess amount of core capital in supplementary capital and 1% excess amount of total deposits in balance at NRB can compensate this shortfall. The banks have categorized loan amount into four categories as per NRBs directives. The increasing loan loss- provisioning amount decreases the profit of the banks. The change in single burrower limit has brought down the limit of a fund based and non-fund based loans, which have resulted to reduce loan exposure to banks.</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In her thesis study she has recommended that both Nabil and SBI banks to increase its supplementary capital as it has shortfall in comparison with NRB guidelines and to meet the supplementary capital adequacy ratio even though it can be compensated by the excess amount of core capital. The supplementary capitals need to be increased by Rs.122.74 million in Nabil Bank and Rs.125.57 million in Nepal SBI bank. She says liquidity and profitability are like two wheels of one cart so banks cannot run in the absence of any one of them. One can be achieved only at the others. Only liquid banks can attract lower core deposits, which help in reducing interest expenses and give loan to good customer at lower rate, which results in requirement of less provision and high net profit. So banks should increase their primary reserve now to maintain the liquidity risk due to scrap out the secondary reserves. On the basis of finding, Nabil </w:t>
      </w:r>
      <w:r w:rsidRPr="00111B84">
        <w:rPr>
          <w:rFonts w:ascii="Times New Roman" w:hAnsi="Times New Roman" w:cs="Times New Roman"/>
          <w:sz w:val="24"/>
          <w:szCs w:val="24"/>
        </w:rPr>
        <w:lastRenderedPageBreak/>
        <w:t>Bank has a shortfall of Rs. 140.74 Million thus Nabil has to increase its balance at NRB by such amount for better performance even after adding 1% excess amount of cash of total deposit.</w:t>
      </w:r>
    </w:p>
    <w:p w:rsidR="007A77CE" w:rsidRPr="00111B84" w:rsidRDefault="007A77CE" w:rsidP="00D25535">
      <w:pPr>
        <w:pStyle w:val="ListParagraph"/>
        <w:tabs>
          <w:tab w:val="left" w:pos="3150"/>
        </w:tabs>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ab/>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b/>
          <w:sz w:val="24"/>
          <w:szCs w:val="24"/>
        </w:rPr>
        <w:t>Joshi (2007)</w:t>
      </w:r>
      <w:r w:rsidRPr="00111B84">
        <w:rPr>
          <w:rFonts w:ascii="Times New Roman" w:hAnsi="Times New Roman" w:cs="Times New Roman"/>
          <w:sz w:val="24"/>
          <w:szCs w:val="24"/>
        </w:rPr>
        <w:t xml:space="preserve"> conducted a study on Investment Policy of Commercial Banks in Nepal, a comparative study of Everest Bank Ltd. with NABIL Bank Ltd. and Bank of Kathmandu with the objective of;</w:t>
      </w:r>
    </w:p>
    <w:p w:rsidR="007A77CE" w:rsidRPr="00111B84" w:rsidRDefault="007A77CE" w:rsidP="00D25535">
      <w:pPr>
        <w:pStyle w:val="ListParagraph"/>
        <w:numPr>
          <w:ilvl w:val="0"/>
          <w:numId w:val="16"/>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discuss fund mobilization and investment policy of EBL, NABIL and BOK Ltd.</w:t>
      </w:r>
    </w:p>
    <w:p w:rsidR="007A77CE" w:rsidRPr="00111B84" w:rsidRDefault="007A77CE" w:rsidP="00D25535">
      <w:pPr>
        <w:pStyle w:val="ListParagraph"/>
        <w:numPr>
          <w:ilvl w:val="0"/>
          <w:numId w:val="16"/>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evaluate the liquidity, efficiency and profitability and risk position.</w:t>
      </w:r>
    </w:p>
    <w:p w:rsidR="007A77CE" w:rsidRPr="00111B84" w:rsidRDefault="007A77CE" w:rsidP="00D25535">
      <w:pPr>
        <w:pStyle w:val="ListParagraph"/>
        <w:numPr>
          <w:ilvl w:val="0"/>
          <w:numId w:val="16"/>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evaluate the growth ratios of loan and advances, total investment with other financial variable.</w:t>
      </w:r>
    </w:p>
    <w:p w:rsidR="007A77CE" w:rsidRPr="00111B84" w:rsidRDefault="007A77CE" w:rsidP="00D25535">
      <w:pPr>
        <w:pStyle w:val="ListParagraph"/>
        <w:numPr>
          <w:ilvl w:val="0"/>
          <w:numId w:val="16"/>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analyze the trend deposit utilization towards total investment and loan and advances.</w:t>
      </w:r>
    </w:p>
    <w:p w:rsidR="007A77CE" w:rsidRPr="00111B84" w:rsidRDefault="007A77CE" w:rsidP="00D25535">
      <w:pPr>
        <w:pStyle w:val="ListParagraph"/>
        <w:numPr>
          <w:ilvl w:val="0"/>
          <w:numId w:val="16"/>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conduct hypothetical test to find whether is significant difference between the various important ratios of EBL, NABIL and BOK.</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 this study, major findings are as follows;</w:t>
      </w:r>
    </w:p>
    <w:p w:rsidR="007A77CE" w:rsidRPr="00111B84" w:rsidRDefault="007A77CE" w:rsidP="00D25535">
      <w:pPr>
        <w:pStyle w:val="ListParagraph"/>
        <w:numPr>
          <w:ilvl w:val="0"/>
          <w:numId w:val="17"/>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liquidity position of the EBL is comparatively better than NABIL and BOK, EBL has the highest cash and bank balance to total deposits, cash and bank balance to total current assets ratios. NABIL has lowest liquidity position than out of other two banks. EBL has good deposit collection and has made enough investment on government securities but it has maintained moderate investment policy on loan and advances.</w:t>
      </w:r>
    </w:p>
    <w:p w:rsidR="007A77CE" w:rsidRPr="00111B84" w:rsidRDefault="007A77CE" w:rsidP="00D25535">
      <w:pPr>
        <w:pStyle w:val="ListParagraph"/>
        <w:numPr>
          <w:ilvl w:val="0"/>
          <w:numId w:val="17"/>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From the analysis of assets management ratio on activity ratio, it can be conducted that EBL has comparatively or in between successful in compared to other two banks.</w:t>
      </w:r>
    </w:p>
    <w:p w:rsidR="007A77CE" w:rsidRPr="00111B84" w:rsidRDefault="007A77CE" w:rsidP="00D25535">
      <w:pPr>
        <w:pStyle w:val="ListParagraph"/>
        <w:numPr>
          <w:ilvl w:val="0"/>
          <w:numId w:val="17"/>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In the study, loan and advances to total deposit is higher in BOKL. But the coefficient of variation is higher in EBL.</w:t>
      </w:r>
    </w:p>
    <w:p w:rsidR="007A77CE" w:rsidRPr="00111B84" w:rsidRDefault="007A77CE" w:rsidP="00D25535">
      <w:pPr>
        <w:pStyle w:val="ListParagraph"/>
        <w:numPr>
          <w:ilvl w:val="0"/>
          <w:numId w:val="17"/>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 xml:space="preserve">In analysis of profitability, total investment earned to total outside assets of EBL is lowest at all. But overall analysis of profitability, EBL has average profitability in comparison to other banks i.e. NABIL and BOKL. From the </w:t>
      </w:r>
      <w:r w:rsidRPr="00111B84">
        <w:rPr>
          <w:rFonts w:ascii="Times New Roman" w:hAnsi="Times New Roman" w:cs="Times New Roman"/>
          <w:sz w:val="24"/>
          <w:szCs w:val="24"/>
        </w:rPr>
        <w:lastRenderedPageBreak/>
        <w:t>view point of risk ratio EBL has higher capital risk but average of credit risk ratio in compared of NABIL and BOKL.</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b/>
          <w:sz w:val="24"/>
          <w:szCs w:val="24"/>
        </w:rPr>
        <w:t>Thapa (2010)</w:t>
      </w:r>
      <w:r w:rsidRPr="00111B84">
        <w:rPr>
          <w:rFonts w:ascii="Times New Roman" w:hAnsi="Times New Roman" w:cs="Times New Roman"/>
          <w:sz w:val="24"/>
          <w:szCs w:val="24"/>
        </w:rPr>
        <w:t xml:space="preserve"> “A comparative study on investment policy of SCBNL and NABIL Bank Ltd.” The main objective of the study is to compare investment policy of concern banks and discusses the fund mobilization of sample bank. </w:t>
      </w:r>
    </w:p>
    <w:p w:rsidR="005B5B7F" w:rsidRPr="00111B84" w:rsidRDefault="005B5B7F" w:rsidP="00D25535">
      <w:pPr>
        <w:spacing w:after="0" w:line="360" w:lineRule="auto"/>
        <w:jc w:val="both"/>
        <w:rPr>
          <w:rFonts w:ascii="Times New Roman" w:hAnsi="Times New Roman" w:cs="Times New Roman"/>
          <w:sz w:val="24"/>
          <w:szCs w:val="24"/>
        </w:rPr>
      </w:pPr>
    </w:p>
    <w:p w:rsidR="005B5B7F"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other specific objectives are as follows;</w:t>
      </w:r>
    </w:p>
    <w:p w:rsidR="007A77CE" w:rsidRPr="00111B84" w:rsidRDefault="007A77CE" w:rsidP="00D25535">
      <w:pPr>
        <w:pStyle w:val="ListParagraph"/>
        <w:numPr>
          <w:ilvl w:val="0"/>
          <w:numId w:val="25"/>
        </w:num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To measure the relationship among total investment deposit, loan and advances, net profit outside assets of SCBNL and NABIL.</w:t>
      </w:r>
    </w:p>
    <w:p w:rsidR="007A77CE" w:rsidRPr="00111B84" w:rsidRDefault="007A77CE" w:rsidP="00D25535">
      <w:pPr>
        <w:pStyle w:val="ListParagraph"/>
        <w:numPr>
          <w:ilvl w:val="0"/>
          <w:numId w:val="18"/>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analyze the trend of deposit utilization, total investment, net profit, loan and advances of SCBNL and NABIL.</w:t>
      </w:r>
    </w:p>
    <w:p w:rsidR="007A77CE" w:rsidRPr="00111B84" w:rsidRDefault="007A77CE" w:rsidP="00D25535">
      <w:pPr>
        <w:pStyle w:val="ListParagraph"/>
        <w:numPr>
          <w:ilvl w:val="0"/>
          <w:numId w:val="18"/>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evaluate the liquidity, assets management efficiency, profitability, growth position and risk position of SCBNL and NABIL.</w:t>
      </w:r>
    </w:p>
    <w:p w:rsidR="007A77CE" w:rsidRPr="00111B84" w:rsidRDefault="007A77CE" w:rsidP="00D25535">
      <w:pPr>
        <w:pStyle w:val="ListParagraph"/>
        <w:numPr>
          <w:ilvl w:val="0"/>
          <w:numId w:val="18"/>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find out the opinion of the people in context of investment decision, appropriate sector for making investing major portion of the deposit in loan and advance, major problems that bank are facing and the policies and guidelines of Nepal Rastra Bank.</w:t>
      </w:r>
    </w:p>
    <w:p w:rsidR="007A77CE" w:rsidRPr="00111B84" w:rsidRDefault="007A77CE" w:rsidP="00D25535">
      <w:pPr>
        <w:pStyle w:val="ListParagraph"/>
        <w:numPr>
          <w:ilvl w:val="0"/>
          <w:numId w:val="18"/>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To provide suitable suggestion and recommendations for the improvement of the bank’s performance.</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major findings of the study were; </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main liquidity position of the SCBNL higher than that of NABIL. SCBNL is more consistent than NABIL.</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mean ratio of investment on government securities to current asset of NABIL is lower than that of SCBNL. The variability ratio of SCBNL is less consistent than NABIL.</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variability of the investment on government securities ratios of NABIL is less consistent.</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During the study period, the mean ratio of credit risk of NABIL is higher than that of SCBNL. It means NABIL has bared more risk in comparison to SCBNL. The credit ratio of NABIL is more consistent than that of SCBNL.</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lastRenderedPageBreak/>
        <w:t>There is highly positive and significant correlation between total deposit and total net profit of SCBNL and NABIL.</w:t>
      </w:r>
    </w:p>
    <w:p w:rsidR="007A77CE" w:rsidRPr="00111B84" w:rsidRDefault="007A77CE" w:rsidP="00D25535">
      <w:pPr>
        <w:pStyle w:val="ListParagraph"/>
        <w:numPr>
          <w:ilvl w:val="0"/>
          <w:numId w:val="19"/>
        </w:numPr>
        <w:spacing w:after="0" w:line="360" w:lineRule="auto"/>
        <w:contextualSpacing w:val="0"/>
        <w:jc w:val="both"/>
        <w:rPr>
          <w:rFonts w:ascii="Times New Roman" w:hAnsi="Times New Roman" w:cs="Times New Roman"/>
          <w:sz w:val="24"/>
          <w:szCs w:val="24"/>
        </w:rPr>
      </w:pPr>
      <w:r w:rsidRPr="00111B84">
        <w:rPr>
          <w:rFonts w:ascii="Times New Roman" w:hAnsi="Times New Roman" w:cs="Times New Roman"/>
          <w:sz w:val="24"/>
          <w:szCs w:val="24"/>
        </w:rPr>
        <w:t>The main factors considered while taking investment decision, the profitability is considered as the main factor while security, political climate, level of income and government policy is considered as other factors respectively.</w:t>
      </w: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p>
    <w:p w:rsidR="007A77CE" w:rsidRPr="00111B84" w:rsidRDefault="007A77CE" w:rsidP="00D25535">
      <w:pPr>
        <w:pStyle w:val="ListParagraph"/>
        <w:numPr>
          <w:ilvl w:val="2"/>
          <w:numId w:val="15"/>
        </w:numPr>
        <w:spacing w:after="0" w:line="360" w:lineRule="auto"/>
        <w:contextualSpacing w:val="0"/>
        <w:jc w:val="both"/>
        <w:rPr>
          <w:rFonts w:ascii="Times New Roman" w:hAnsi="Times New Roman" w:cs="Times New Roman"/>
          <w:b/>
          <w:bCs/>
          <w:sz w:val="24"/>
          <w:szCs w:val="24"/>
        </w:rPr>
      </w:pPr>
      <w:bookmarkStart w:id="0" w:name="_Toc122061369"/>
      <w:bookmarkStart w:id="1" w:name="_Toc122318998"/>
      <w:r w:rsidRPr="00111B84">
        <w:rPr>
          <w:rFonts w:ascii="Times New Roman" w:hAnsi="Times New Roman" w:cs="Times New Roman"/>
          <w:b/>
          <w:bCs/>
          <w:sz w:val="24"/>
          <w:szCs w:val="24"/>
        </w:rPr>
        <w:t>NRB rules regarding fund mobilization of Commercial Bank</w:t>
      </w:r>
      <w:bookmarkEnd w:id="0"/>
      <w:bookmarkEnd w:id="1"/>
      <w:r w:rsidRPr="00111B84">
        <w:rPr>
          <w:rFonts w:ascii="Times New Roman" w:hAnsi="Times New Roman" w:cs="Times New Roman"/>
          <w:b/>
          <w:bCs/>
          <w:sz w:val="24"/>
          <w:szCs w:val="24"/>
        </w:rPr>
        <w:t>:</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To mobilize bank's deposit in different sectors of the different part of the nation to prevent them from the financial problems, central bank may establish a legal framework by formulating various rules and regulation. These directives must have direct or indirect impact while making decision to discuss those rules and regulation which are formulated by NRB in terms of investment and credit to priority sector, deprived sector, other institution, single borrower limit, CRR loan loss provision, capital adequacy ratio, interest spread, and productive sector investment. A commercial bank is directly related to the fact that how much fund must be collected as paid up capital while being established at a certain place of the nation, how much fund is needed to expand the branch and counters, how much flexible and helpful the NRB rules are also important. But we discuss only those, whose are related to investment function of commercial banks. The main provisions established by NRB in the form of prudential norms in above relevant area are briefly discussed here under</w:t>
      </w:r>
      <w:r w:rsidR="005B5B7F" w:rsidRPr="00111B84">
        <w:rPr>
          <w:rFonts w:ascii="Times New Roman" w:hAnsi="Times New Roman" w:cs="Times New Roman"/>
          <w:sz w:val="24"/>
          <w:szCs w:val="24"/>
        </w:rPr>
        <w:t>.</w:t>
      </w:r>
    </w:p>
    <w:p w:rsidR="005B5B7F" w:rsidRPr="00111B84" w:rsidRDefault="005B5B7F"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2.3.4 Research Gap:</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There have been many national and international studies in the field of investment to date. All the concepts and practices of foreign author’s model about policies of investment are not used in our Nepalese investment analysis. The Nepalese capital market is in early stage of development, the conclusion made by the international studies may not be relevant in Nepalese context. So, it is recommended to devote some effort and think how to use that foreign model investment.</w:t>
      </w:r>
    </w:p>
    <w:p w:rsidR="00E143DF" w:rsidRPr="00111B84" w:rsidRDefault="00E143DF" w:rsidP="00D25535">
      <w:pPr>
        <w:spacing w:after="0" w:line="360" w:lineRule="auto"/>
        <w:jc w:val="both"/>
        <w:rPr>
          <w:rFonts w:ascii="Times New Roman" w:hAnsi="Times New Roman" w:cs="Times New Roman"/>
          <w:sz w:val="24"/>
          <w:szCs w:val="24"/>
        </w:rPr>
      </w:pP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So far the Nepalese studies are concerned, there are some studies done, like Shrestha, Thapa and Bhattarai which can be considered to be landmark in the field of investment policy. But many more changes have taken place in the Nepalese capital </w:t>
      </w:r>
      <w:r w:rsidRPr="00111B84">
        <w:rPr>
          <w:rFonts w:ascii="Times New Roman" w:hAnsi="Times New Roman" w:cs="Times New Roman"/>
          <w:sz w:val="24"/>
          <w:szCs w:val="24"/>
        </w:rPr>
        <w:lastRenderedPageBreak/>
        <w:t>market in last few years, and the validity of the past results is doubtful in the present context. Besides this some researchers have taken different firms of different sectors. So, the result drawn from those studies may not be accurate to represent the present practices and efforts made in the Nepalese capital market. So, it is necessary to carry out a fresh study related to investment pattern of Nepalese Banks.</w:t>
      </w:r>
    </w:p>
    <w:p w:rsidR="00D25535" w:rsidRPr="00111B84" w:rsidRDefault="00D25535"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researcher has attempted to make a distinct study in terms of size, nature of the firms and methodology used. Latest five years data has been analyzed with due consideration of Time Period and Ratios. Taking in mind for elaborate and extensive analysis, company wise analysis has also been made in order to assess the impact of policy on market price of share, available information from concerned banks are reviewed and analyzed. Finally, ratio analysis has been done. So, it has been believed that this study will be different from earlier one. </w:t>
      </w:r>
    </w:p>
    <w:p w:rsidR="007A77CE" w:rsidRPr="00111B84" w:rsidRDefault="007A77CE" w:rsidP="00D25535">
      <w:pPr>
        <w:spacing w:after="0" w:line="360" w:lineRule="auto"/>
        <w:rPr>
          <w:rFonts w:ascii="Times New Roman" w:hAnsi="Times New Roman" w:cs="Times New Roman"/>
          <w:sz w:val="24"/>
          <w:szCs w:val="24"/>
        </w:rPr>
      </w:pPr>
    </w:p>
    <w:p w:rsidR="007A77CE" w:rsidRPr="00111B84" w:rsidRDefault="007A77CE" w:rsidP="00D25535">
      <w:pPr>
        <w:spacing w:after="0" w:line="360" w:lineRule="auto"/>
        <w:rPr>
          <w:rFonts w:ascii="Times New Roman" w:hAnsi="Times New Roman" w:cs="Times New Roman"/>
          <w:sz w:val="24"/>
          <w:szCs w:val="24"/>
        </w:rPr>
      </w:pPr>
    </w:p>
    <w:p w:rsidR="007A77CE" w:rsidRPr="00111B84" w:rsidRDefault="007A77CE" w:rsidP="00D25535">
      <w:pPr>
        <w:spacing w:after="0" w:line="360" w:lineRule="auto"/>
        <w:rPr>
          <w:rFonts w:ascii="Times New Roman" w:hAnsi="Times New Roman" w:cs="Times New Roman"/>
          <w:sz w:val="24"/>
          <w:szCs w:val="24"/>
        </w:rPr>
      </w:pPr>
    </w:p>
    <w:p w:rsidR="00577E67" w:rsidRPr="00111B84" w:rsidRDefault="00577E67" w:rsidP="00D25535">
      <w:pPr>
        <w:spacing w:after="0" w:line="360" w:lineRule="auto"/>
        <w:rPr>
          <w:rFonts w:ascii="Times New Roman" w:hAnsi="Times New Roman" w:cs="Times New Roman"/>
          <w:sz w:val="24"/>
          <w:szCs w:val="24"/>
        </w:rPr>
      </w:pPr>
    </w:p>
    <w:p w:rsidR="005B5B7F" w:rsidRPr="00111B84" w:rsidRDefault="005B5B7F" w:rsidP="00D25535">
      <w:pPr>
        <w:spacing w:after="0" w:line="360" w:lineRule="auto"/>
        <w:rPr>
          <w:rFonts w:ascii="Times New Roman" w:hAnsi="Times New Roman" w:cs="Times New Roman"/>
          <w:sz w:val="24"/>
          <w:szCs w:val="24"/>
        </w:rPr>
      </w:pPr>
    </w:p>
    <w:p w:rsidR="00B5238C" w:rsidRDefault="00B5238C">
      <w:pPr>
        <w:rPr>
          <w:rFonts w:ascii="Times New Roman" w:hAnsi="Times New Roman" w:cs="Times New Roman"/>
          <w:b/>
          <w:bCs/>
          <w:sz w:val="32"/>
          <w:szCs w:val="24"/>
        </w:rPr>
      </w:pPr>
      <w:r>
        <w:rPr>
          <w:rFonts w:ascii="Times New Roman" w:hAnsi="Times New Roman" w:cs="Times New Roman"/>
          <w:b/>
          <w:bCs/>
          <w:sz w:val="32"/>
          <w:szCs w:val="24"/>
        </w:rPr>
        <w:br w:type="page"/>
      </w:r>
    </w:p>
    <w:p w:rsidR="007A77CE" w:rsidRPr="00111B84" w:rsidRDefault="007A77CE" w:rsidP="00D25535">
      <w:pPr>
        <w:spacing w:after="0" w:line="360" w:lineRule="auto"/>
        <w:jc w:val="center"/>
        <w:outlineLvl w:val="0"/>
        <w:rPr>
          <w:rFonts w:ascii="Times New Roman" w:hAnsi="Times New Roman" w:cs="Times New Roman"/>
          <w:b/>
          <w:bCs/>
          <w:sz w:val="32"/>
          <w:szCs w:val="24"/>
        </w:rPr>
      </w:pPr>
      <w:r w:rsidRPr="00111B84">
        <w:rPr>
          <w:rFonts w:ascii="Times New Roman" w:hAnsi="Times New Roman" w:cs="Times New Roman"/>
          <w:b/>
          <w:bCs/>
          <w:sz w:val="32"/>
          <w:szCs w:val="24"/>
        </w:rPr>
        <w:lastRenderedPageBreak/>
        <w:t>CHAPTER – III</w:t>
      </w:r>
    </w:p>
    <w:p w:rsidR="007A77CE" w:rsidRPr="00111B84" w:rsidRDefault="007A77CE" w:rsidP="00D25535">
      <w:pPr>
        <w:spacing w:after="0" w:line="360" w:lineRule="auto"/>
        <w:jc w:val="center"/>
        <w:outlineLvl w:val="0"/>
        <w:rPr>
          <w:rFonts w:ascii="Times New Roman" w:hAnsi="Times New Roman" w:cs="Times New Roman"/>
          <w:b/>
          <w:bCs/>
          <w:sz w:val="28"/>
          <w:szCs w:val="24"/>
        </w:rPr>
      </w:pPr>
      <w:r w:rsidRPr="00111B84">
        <w:rPr>
          <w:rFonts w:ascii="Times New Roman" w:hAnsi="Times New Roman" w:cs="Times New Roman"/>
          <w:b/>
          <w:bCs/>
          <w:sz w:val="28"/>
          <w:szCs w:val="24"/>
        </w:rPr>
        <w:t xml:space="preserve">  RESEARCH METHODOLOGY</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3.1.   Introduction:</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Research methodology describes the method and process applied in the entire subject of the study. It may be understood as a science of studying how research is done significantly. Research methods are those methods, which are used by the researcher during the course of studying his/her problems. This chapter bridges the problem with the result. The most sensitive part of the research and the base on which our conclusion will be drawn is included in this chapter. This chapter highlights the research methodology used in the study for analysis of investment policy of the Standard Chartered Bank Limited.</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3.2. Research Design:</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Research design is a plan, structure and strategy to obtain the objective of the study. A research design is purely and simply the framework or plan for a study that guides the collection and analysis of data. The research will be mainly based on secondary data and information. To conduct this study the research design should be descriptive as well as analytical using the variables related with the performance of the company and return to investors. The financial statement reports of the company and the relevant subject will be included in the study.</w:t>
      </w:r>
    </w:p>
    <w:p w:rsidR="00D25535" w:rsidRPr="00111B84" w:rsidRDefault="00D25535"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“Research Design means an overall framework or plan for the collection and analysis of data” (Wolf and Pant, 2003:74).</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Thus, a research design is the arrangement of conditions for collection and analysis of data that aims to combine relevance to the research purpose.</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 xml:space="preserve">3.3.   Source of Data: </w:t>
      </w: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study is basically conducted on the basis of the secondary data. The data required for the analysis of directly obtained from the P/L a/c and balance sheet of concerned bank annual reports. Supplementary data and information are collected from couple of institution and regulating authorities like NRB, Ministry and finance budget speech of different fiscal years, economic survey and national planning commission.</w:t>
      </w:r>
    </w:p>
    <w:p w:rsidR="00D25535" w:rsidRPr="00111B84" w:rsidRDefault="00D25535"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All the secondary data are compiled, processed and tabulated in the time series as per the need and objective. Formal and informal talks with the concerned authorities of the bank were also helpful to obtain the additional information of the related problem. Likewise, various data and information are collected from the economic journals, bulletins, magazines and other published and unpublished reports and documents from various sources.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3.4.   Method of Analysis: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To achieve the objective of the study, various financial and statistical tools have been used. The analysis of data will be done according to the pattern of data available. Due to limitation of time and resources, simple analytical statistical tools such as percentage graph, Karl Pearson’s coefficient of correlation are used in this study. Likewise, some financial tools such as ratio analysis and trends analysis have also been used for financial analysis.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Main finding of the study are derived on the basis analysis of financial data of SCBNL which are given below</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3.4.1   Financial Tools: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Financial tools are used to examine the strength and weakness of bank. In this study financial tools like ratio analysis and financial statement analysis have been used.</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Ratio analysis: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Financial ratio is the mathematical relationship between two accounting figures. Ratio analysis is a part of the whole process of analysis of financial statements of any business or industrial concern especially to take output and credit decisions. Thus, ratio analysis is used to compare a firm’s financial performance and status to that of other firms to it overtime. The qualitative judgment regarding financial performance of a firm can be done with the help of ratio analysis.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0"/>
        </w:numPr>
        <w:spacing w:after="0" w:line="360" w:lineRule="auto"/>
        <w:ind w:left="90" w:firstLine="0"/>
        <w:jc w:val="both"/>
        <w:rPr>
          <w:rFonts w:ascii="Times New Roman" w:hAnsi="Times New Roman" w:cs="Times New Roman"/>
          <w:b/>
          <w:sz w:val="24"/>
          <w:szCs w:val="24"/>
        </w:rPr>
      </w:pPr>
      <w:r w:rsidRPr="00111B84">
        <w:rPr>
          <w:rFonts w:ascii="Times New Roman" w:hAnsi="Times New Roman" w:cs="Times New Roman"/>
          <w:b/>
          <w:sz w:val="24"/>
          <w:szCs w:val="24"/>
        </w:rPr>
        <w:t>Liquidity Ratios: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Liquidity ratios are used to judge the ability of banks to meet its short term liabilities that are likely to mature in the short period. From them, much insight can be obtained into present cash solvency of the bank and its ability to remain solvent in the event of </w:t>
      </w:r>
      <w:r w:rsidRPr="00111B84">
        <w:rPr>
          <w:rFonts w:ascii="Times New Roman" w:hAnsi="Times New Roman" w:cs="Times New Roman"/>
          <w:sz w:val="24"/>
          <w:szCs w:val="24"/>
        </w:rPr>
        <w:lastRenderedPageBreak/>
        <w:t>adversities. It is the measurement of speed with which a bank’s asset can be covered into cash or meet deposit withdrawal and other current obligations.</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 commercial bank must maintain its satisfactory liquidity position to satisfy the credit needs of the community, to meet demands for deposits withdrawals, pay maturity obligation in time and convert non cash into cash to satisfy immediate needs without loss to bank and consequent impact on long run profit. In fact analysis of liquidity needs the preparation of cash budget and cash and fund, but liquidity ratios by establishing a relationship between cash and other current assets to current obligation, provide a guide measure of liquidity.</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following ratio are evaluated and interpreted under liquidity ratios: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Current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Total Current Assets</m:t>
            </m:r>
          </m:num>
          <m:den>
            <m:r>
              <m:rPr>
                <m:sty m:val="p"/>
              </m:rPr>
              <w:rPr>
                <w:rFonts w:ascii="Cambria Math" w:hAnsi="Times New Roman" w:cs="Times New Roman"/>
                <w:sz w:val="24"/>
                <w:szCs w:val="24"/>
              </w:rPr>
              <m:t>Total Current Liabilities</m:t>
            </m:r>
          </m:den>
        </m:f>
      </m:oMath>
    </w:p>
    <w:p w:rsidR="007A77CE" w:rsidRPr="00111B84" w:rsidRDefault="007A77CE" w:rsidP="00D25535">
      <w:pPr>
        <w:pStyle w:val="ListParagraph"/>
        <w:spacing w:after="0" w:line="360" w:lineRule="auto"/>
        <w:jc w:val="both"/>
        <w:rPr>
          <w:rFonts w:ascii="Times New Roman" w:hAnsi="Times New Roman" w:cs="Times New Roman"/>
          <w:b/>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Where, current assets include cash and bank balance, money at call or short term notice, loan and advances, investment in government securities and other interest receivables and miscellaneous current assets or (Total asset- fixed assets- Share, Debenture and other Bond) whereas current liabilities include deposits and other accounts short term loan, bill payable, tax provision, staff bonus, dividend payable and miscellaneous current liabilities.</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Cash and Bank Balance to Current Asset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examines the banks liquidity capacity on the basis of its most liquid assets i.e. cash and balance. This ratio reveals the ability of the bank to make the quick payment of its customer deposits. A high ratio indicates the sound ability to meet their daily cash requirements of their customer deposits and vice versa. This ratio can be calculated by using the following formula.</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Cash and bank balance to current assets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Cash and Bank balance</m:t>
            </m:r>
          </m:num>
          <m:den>
            <m:r>
              <m:rPr>
                <m:sty m:val="p"/>
              </m:rPr>
              <w:rPr>
                <w:rFonts w:ascii="Cambria Math" w:hAnsi="Times New Roman" w:cs="Times New Roman"/>
                <w:sz w:val="24"/>
                <w:szCs w:val="24"/>
              </w:rPr>
              <m:t>Current Assets</m:t>
            </m:r>
          </m:den>
        </m:f>
      </m:oMath>
    </w:p>
    <w:p w:rsidR="007A77CE" w:rsidRPr="00111B84" w:rsidRDefault="007A77CE" w:rsidP="00D25535">
      <w:pPr>
        <w:pStyle w:val="ListParagraph"/>
        <w:spacing w:after="0" w:line="360" w:lineRule="auto"/>
        <w:jc w:val="both"/>
        <w:rPr>
          <w:rFonts w:ascii="Times New Roman" w:hAnsi="Times New Roman" w:cs="Times New Roman"/>
          <w:b/>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Where, in the present study cash and bank balance represent total of local currency foreign currencies, cheques in hand and various bank balance in local as well as foreign banks. Both higher and lower ratio is not desirable. The reason is that is a </w:t>
      </w:r>
      <w:r w:rsidRPr="00111B84">
        <w:rPr>
          <w:rFonts w:ascii="Times New Roman" w:hAnsi="Times New Roman" w:cs="Times New Roman"/>
          <w:sz w:val="24"/>
          <w:szCs w:val="24"/>
        </w:rPr>
        <w:lastRenderedPageBreak/>
        <w:t>bank maintains higher ratio of cash, it has to pay interest on deposits and some earnings may be lost. In the contrast, if a bank maintain low ratio of cash, it may fail to make the payment for presented cheques by its customer. So, sufficient and appropriate cash reserve should be maintained properly.</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Cash and Bank Balance to Total Deposit Ratio:</w:t>
      </w: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sz w:val="24"/>
          <w:szCs w:val="24"/>
        </w:rPr>
        <w:t>Cash and bank balance are assets that constitute the bank first line of defense and consist of cash on hand, foreign cash on hand, cheques and other cash, balance with domestic banks and balance held abroad.</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Mathematically it is calculated as: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Cash and bank balance to total deposit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Cash and Bank balance</m:t>
            </m:r>
          </m:num>
          <m:den>
            <m:r>
              <m:rPr>
                <m:sty m:val="p"/>
              </m:rPr>
              <w:rPr>
                <w:rFonts w:ascii="Cambria Math" w:hAnsi="Times New Roman" w:cs="Times New Roman"/>
                <w:sz w:val="24"/>
                <w:szCs w:val="24"/>
              </w:rPr>
              <m:t>Total Deposit</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Where, cash and bank balance includes cash in hand, foreign cash on hand, cheques and other cash items, balance with domestic and abroad banks whereas the total deposits include current deposit, saving deposit, fixed deposit, money a call and short notice and other deposits. The above analysis helps to conclude that the cash and bank balance position of SCBNL with the respect to deposits is better against the readiness to serve its customers deposits. It implies the better liquidity position of SCBNL. In contrast, a high ratio of non earning cash and bank balance may be unfit which indicate the banks inability to invest its funds in income generating areas.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Investment on Government Securities on Current Assets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in government securities on current assets ratio reflects the current assets invested on government securities, treasury bills, development bonds. This ratio can be computed by dividing investment on government securities by current assets. This ratio can be calculated by applying the following formula.</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Investment on government securities= </w:t>
      </w:r>
      <m:oMath>
        <m:f>
          <m:fPr>
            <m:ctrlPr>
              <w:rPr>
                <w:rFonts w:ascii="Cambria Math" w:hAnsi="Times New Roman" w:cs="Times New Roman"/>
                <w:sz w:val="24"/>
                <w:szCs w:val="24"/>
              </w:rPr>
            </m:ctrlPr>
          </m:fPr>
          <m:num>
            <m:r>
              <m:rPr>
                <m:sty m:val="p"/>
              </m:rPr>
              <w:rPr>
                <w:rFonts w:ascii="Cambria Math" w:hAnsi="Times New Roman" w:cs="Times New Roman"/>
                <w:sz w:val="24"/>
                <w:szCs w:val="24"/>
              </w:rPr>
              <m:t>Investment on Goverment Securities</m:t>
            </m:r>
          </m:num>
          <m:den>
            <m:r>
              <m:rPr>
                <m:sty m:val="p"/>
              </m:rPr>
              <w:rPr>
                <w:rFonts w:ascii="Cambria Math" w:hAnsi="Times New Roman" w:cs="Times New Roman"/>
                <w:sz w:val="24"/>
                <w:szCs w:val="24"/>
              </w:rPr>
              <m:t>Total Current Assets</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Where, investment on government securities includes treasury bills, development bonds, saving bonds, government securities. The ratio examines that portion of a commercial bank’s current assets, which is invested on different Govt. securities. </w:t>
      </w:r>
      <w:r w:rsidRPr="00111B84">
        <w:rPr>
          <w:rFonts w:ascii="Times New Roman" w:hAnsi="Times New Roman" w:cs="Times New Roman"/>
          <w:sz w:val="24"/>
          <w:szCs w:val="24"/>
        </w:rPr>
        <w:lastRenderedPageBreak/>
        <w:t>More or less commercial bank is interested to invest their collected fund on different securities issued by government in different times to utilize their excess funds and or for other purpose. Though government securities are not so liquid as cash and bank balance of commercial bank, they can easily be sold in the market or they can be converted into cash in other ways.</w:t>
      </w:r>
    </w:p>
    <w:p w:rsidR="00D25535" w:rsidRDefault="00D25535"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Loan and Advance to Current Asset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Loan and advances are also included in the current assets of commercial bank because generally they provide short term loan, advance, and overdraft and cash credit. The ratio can be computed in following way:</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Loan and advance to current asset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Loan and Advances</m:t>
            </m:r>
          </m:num>
          <m:den>
            <m:r>
              <m:rPr>
                <m:sty m:val="p"/>
              </m:rPr>
              <w:rPr>
                <w:rFonts w:ascii="Cambria Math" w:hAnsi="Times New Roman" w:cs="Times New Roman"/>
                <w:sz w:val="24"/>
                <w:szCs w:val="24"/>
              </w:rPr>
              <m:t>Current Assets</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 the present study loan and advance represent to local and foreign bills discounted purchased and loan, cash credit and overdraft in local currency as well as inconvertible foreign currency. To make high profit by mobilizing its fund in the best way, a commercial bank should not keep its all collected funds as cash and bank balance but they should be invested as loan advances to the customers. If sufficient loan and advances cannot be granted, it should pay interest on those unutilized deposit funds and may lose some earning. But high loan and advances may also be harmful to keep the bank in most liquid position because they can only be collected at the time of maturity only.</w:t>
      </w:r>
    </w:p>
    <w:p w:rsidR="005B5B7F" w:rsidRPr="00111B84" w:rsidRDefault="005B5B7F" w:rsidP="00D25535">
      <w:pPr>
        <w:spacing w:after="0" w:line="360" w:lineRule="auto"/>
        <w:jc w:val="both"/>
        <w:rPr>
          <w:rFonts w:ascii="Times New Roman" w:hAnsi="Times New Roman" w:cs="Times New Roman"/>
          <w:sz w:val="24"/>
          <w:szCs w:val="24"/>
        </w:rPr>
      </w:pPr>
    </w:p>
    <w:p w:rsidR="00D87763" w:rsidRPr="00111B84" w:rsidRDefault="007A77CE" w:rsidP="00D25535">
      <w:pPr>
        <w:pStyle w:val="ListParagraph"/>
        <w:numPr>
          <w:ilvl w:val="0"/>
          <w:numId w:val="20"/>
        </w:numPr>
        <w:spacing w:after="0" w:line="360" w:lineRule="auto"/>
        <w:ind w:left="360"/>
        <w:jc w:val="both"/>
        <w:rPr>
          <w:rFonts w:ascii="Times New Roman" w:hAnsi="Times New Roman" w:cs="Times New Roman"/>
          <w:b/>
          <w:sz w:val="24"/>
          <w:szCs w:val="24"/>
        </w:rPr>
      </w:pPr>
      <w:r w:rsidRPr="00111B84">
        <w:rPr>
          <w:rFonts w:ascii="Times New Roman" w:hAnsi="Times New Roman" w:cs="Times New Roman"/>
          <w:b/>
          <w:sz w:val="24"/>
          <w:szCs w:val="24"/>
        </w:rPr>
        <w:t>Assets Management Ratio:</w:t>
      </w:r>
    </w:p>
    <w:p w:rsidR="007A77CE" w:rsidRPr="00111B84" w:rsidRDefault="007A77CE" w:rsidP="00871E89">
      <w:pPr>
        <w:pStyle w:val="ListParagraph"/>
        <w:spacing w:after="0" w:line="360" w:lineRule="auto"/>
        <w:ind w:left="360"/>
        <w:jc w:val="both"/>
        <w:rPr>
          <w:rFonts w:ascii="Times New Roman" w:hAnsi="Times New Roman" w:cs="Times New Roman"/>
          <w:b/>
          <w:sz w:val="24"/>
          <w:szCs w:val="24"/>
        </w:rPr>
      </w:pPr>
      <w:r w:rsidRPr="00111B84">
        <w:rPr>
          <w:rFonts w:ascii="Times New Roman" w:hAnsi="Times New Roman" w:cs="Times New Roman"/>
          <w:sz w:val="24"/>
          <w:szCs w:val="24"/>
        </w:rPr>
        <w:t>Assets management ratio measures how efficiently the bank manages the resources at its command. The efficiency with which the assets are used would be reflected in the speed and rapidly with the assets is converted into revenues. The greater the rate of turnover or conversion, the more efficient is the management utilization of assets. So, proper balance between revenue and assets is desired for the reflection of optimum utilization of the assets. The following ratios are used under this asset management ratio.</w:t>
      </w:r>
    </w:p>
    <w:p w:rsidR="007A77CE" w:rsidRDefault="007A77CE" w:rsidP="00D25535">
      <w:pPr>
        <w:spacing w:after="0" w:line="360" w:lineRule="auto"/>
        <w:jc w:val="both"/>
        <w:rPr>
          <w:rFonts w:ascii="Times New Roman" w:hAnsi="Times New Roman" w:cs="Times New Roman"/>
          <w:sz w:val="24"/>
          <w:szCs w:val="24"/>
        </w:rPr>
      </w:pPr>
    </w:p>
    <w:p w:rsidR="00B5238C" w:rsidRPr="00111B84" w:rsidRDefault="00B5238C"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lastRenderedPageBreak/>
        <w:t>Loan and Advances to Total Deposits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is calculated to find out how successfully the banks are utilizing their total deposits on loan and advances for profit generating purpose. Greater ratio implies the better utilization of total deposits. This ratio can be obtained by dividing loan and advances by total deposits, which can be states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Loan and advances to total deposits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Loan and Advances</m:t>
            </m:r>
          </m:num>
          <m:den>
            <m:r>
              <m:rPr>
                <m:sty m:val="p"/>
              </m:rPr>
              <w:rPr>
                <w:rFonts w:ascii="Cambria Math" w:hAnsi="Times New Roman" w:cs="Times New Roman"/>
                <w:sz w:val="24"/>
                <w:szCs w:val="24"/>
              </w:rPr>
              <m:t>Total Deposits</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Generally, a high ratio reflects higher efficiency to utilize outsiders fund and vice versa. Here, loan and advance to total of loan and advance and overdraft (i.e. in local currency plus convertible foreign currencies) and total deposit refer to total of all kinds of deposits.</w:t>
      </w:r>
    </w:p>
    <w:p w:rsidR="007A77CE" w:rsidRPr="00111B84" w:rsidRDefault="007A77CE" w:rsidP="00D25535">
      <w:pPr>
        <w:spacing w:after="0" w:line="360" w:lineRule="auto"/>
        <w:jc w:val="both"/>
        <w:rPr>
          <w:rFonts w:ascii="Times New Roman" w:hAnsi="Times New Roman" w:cs="Times New Roman"/>
          <w:sz w:val="24"/>
          <w:szCs w:val="24"/>
        </w:rPr>
      </w:pPr>
    </w:p>
    <w:p w:rsidR="00D87763" w:rsidRPr="00111B84" w:rsidRDefault="00D87763"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Loan and Advances to Working Fund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Loan and advances is the major component in the total working fund, which indicates the ability of bank to channelize its deposits in the form of loan and advances to earn high return. This ratio is compute by dividing loan and advance by total working fund. This is stated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Loan and advances to working fund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Loan and Advances</m:t>
            </m:r>
          </m:num>
          <m:den>
            <m:r>
              <m:rPr>
                <m:sty m:val="p"/>
              </m:rPr>
              <w:rPr>
                <w:rFonts w:ascii="Cambria Math" w:hAnsi="Times New Roman" w:cs="Times New Roman"/>
                <w:sz w:val="24"/>
                <w:szCs w:val="24"/>
              </w:rPr>
              <m:t>Total Working Fund</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Here, the denominator includes all assets of on balance sheet items. In other words, this includes current assets, net fixed assets, loan for development banks and other miscellaneous assets but excludes off balance sheet items like letter of credit, letter of guarantee etc.</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Total Investment to Total Deposits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is one of the major forms of credit created to earn income. This implies the utilization of firms deposit on investment on government securities and shares debentures of other companies and bank. This ratio can be calculated by dividing total investment by total deposit. This ratio can be mentioned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 xml:space="preserve">Total investment to total deposit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Total Investment </m:t>
            </m:r>
          </m:num>
          <m:den>
            <m:r>
              <m:rPr>
                <m:sty m:val="p"/>
              </m:rPr>
              <w:rPr>
                <w:rFonts w:ascii="Cambria Math" w:hAnsi="Times New Roman" w:cs="Times New Roman"/>
                <w:sz w:val="24"/>
                <w:szCs w:val="24"/>
              </w:rPr>
              <m:t>Total Deposit</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Here, total investment consists of investment on government securities, investment on debenture and bonds shares in subsidiary companies, shares in other companies and other investment. </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Investment on Government Securities to Total Working Fund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shows that banks investment on government securities i.e. comparison to the total working fund. A high ratio indicates better mobilization of fund as investments on government securities and vice versa. This ratio can be calculated by dividing investment o government securities by total working fund. This is presented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on government securities to total working fund ratio</w:t>
      </w:r>
    </w:p>
    <w:p w:rsidR="007A77CE" w:rsidRPr="00111B84" w:rsidRDefault="007A77CE" w:rsidP="00D25535">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Investment on Govt. Securities</m:t>
            </m:r>
          </m:num>
          <m:den>
            <m:r>
              <m:rPr>
                <m:sty m:val="p"/>
              </m:rPr>
              <w:rPr>
                <w:rFonts w:ascii="Cambria Math" w:hAnsi="Times New Roman" w:cs="Times New Roman"/>
                <w:sz w:val="24"/>
                <w:szCs w:val="24"/>
              </w:rPr>
              <m:t>Total Working Funds</m:t>
            </m:r>
          </m:den>
        </m:f>
      </m:oMath>
    </w:p>
    <w:p w:rsidR="007A77CE"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Here, investment on government securities includes treasury bills and development bond etc. total working fund includes all assets of on balance sheet items i.e. (Total assets- Bills of collection). Current assets, net fixed assets, loans for development banks and other miscellaneous assets but excludes off balance sheet items such as letter of credit (L.C.), letter of guarantee etc.</w:t>
      </w:r>
    </w:p>
    <w:p w:rsidR="00871E89" w:rsidRPr="00111B84" w:rsidRDefault="00871E89"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Investment on Shares and Debenture to Total Working Fund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shows the banks investment in shares and debenture of the subsidiary and other companies in terms of total working fund. This ratio is computes by dividing shares and debentures by total working fund. This can be shown as,</w:t>
      </w:r>
    </w:p>
    <w:p w:rsidR="007A77CE" w:rsidRPr="00111B84" w:rsidRDefault="007A77CE" w:rsidP="00D25535">
      <w:pPr>
        <w:pStyle w:val="NoSpacing"/>
        <w:spacing w:line="360" w:lineRule="auto"/>
        <w:rPr>
          <w:rFonts w:ascii="Times New Roman" w:hAnsi="Times New Roman" w:cs="Times New Roman"/>
          <w:sz w:val="24"/>
          <w:szCs w:val="24"/>
        </w:rPr>
      </w:pPr>
      <w:r w:rsidRPr="00111B84">
        <w:rPr>
          <w:rFonts w:ascii="Times New Roman" w:hAnsi="Times New Roman" w:cs="Times New Roman"/>
          <w:sz w:val="24"/>
          <w:szCs w:val="24"/>
        </w:rPr>
        <w:t>Investment on share &amp;debenture to total working fund ratio</w:t>
      </w:r>
    </w:p>
    <w:p w:rsidR="007A77CE" w:rsidRPr="00111B84" w:rsidRDefault="007A77CE" w:rsidP="00D25535">
      <w:pPr>
        <w:pStyle w:val="NoSpacing"/>
        <w:spacing w:line="360" w:lineRule="auto"/>
        <w:jc w:val="center"/>
        <w:rPr>
          <w:rFonts w:ascii="Times New Roman" w:eastAsia="Times New Roman" w:hAnsi="Times New Roman" w:cs="Times New Roman"/>
          <w:b/>
          <w:sz w:val="24"/>
          <w:szCs w:val="24"/>
        </w:rPr>
      </w:pPr>
      <w:r w:rsidRPr="00111B84">
        <w:rPr>
          <w:rFonts w:ascii="Times New Roman" w:hAnsi="Times New Roman" w:cs="Times New Roman"/>
          <w:b/>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Investment on Share </m:t>
            </m:r>
            <m:r>
              <w:rPr>
                <w:rFonts w:ascii="Cambria Math" w:hAnsi="Times New Roman" w:cs="Times New Roman"/>
                <w:sz w:val="24"/>
                <w:szCs w:val="24"/>
              </w:rPr>
              <m:t xml:space="preserve">&amp; </m:t>
            </m:r>
            <m:r>
              <w:rPr>
                <w:rFonts w:ascii="Cambria Math" w:hAnsi="Cambria Math" w:cs="Times New Roman"/>
                <w:sz w:val="24"/>
                <w:szCs w:val="24"/>
              </w:rPr>
              <m:t>Debenture</m:t>
            </m:r>
          </m:num>
          <m:den>
            <m:r>
              <m:rPr>
                <m:sty m:val="p"/>
              </m:rPr>
              <w:rPr>
                <w:rFonts w:ascii="Cambria Math" w:hAnsi="Times New Roman" w:cs="Times New Roman"/>
                <w:sz w:val="24"/>
                <w:szCs w:val="24"/>
              </w:rPr>
              <m:t>Total Working Fund</m:t>
            </m:r>
          </m:den>
        </m:f>
      </m:oMath>
    </w:p>
    <w:p w:rsidR="007A77CE" w:rsidRPr="00111B84" w:rsidRDefault="007A77CE" w:rsidP="00D25535">
      <w:pPr>
        <w:pStyle w:val="NoSpacing"/>
        <w:spacing w:line="360" w:lineRule="auto"/>
        <w:rPr>
          <w:rFonts w:ascii="Times New Roman" w:eastAsia="Times New Roman" w:hAnsi="Times New Roman" w:cs="Times New Roman"/>
          <w:sz w:val="24"/>
          <w:szCs w:val="24"/>
        </w:rPr>
      </w:pPr>
      <w:r w:rsidRPr="00111B84">
        <w:rPr>
          <w:rFonts w:ascii="Times New Roman" w:eastAsia="Times New Roman" w:hAnsi="Times New Roman" w:cs="Times New Roman"/>
          <w:sz w:val="24"/>
          <w:szCs w:val="24"/>
        </w:rPr>
        <w:t>Where, numerator includes investment on debentures, bonds and shares of the other companies.</w:t>
      </w:r>
    </w:p>
    <w:p w:rsidR="007A77CE" w:rsidRDefault="007A77CE" w:rsidP="00D25535">
      <w:pPr>
        <w:pStyle w:val="NoSpacing"/>
        <w:spacing w:line="360" w:lineRule="auto"/>
        <w:rPr>
          <w:rFonts w:ascii="Times New Roman" w:eastAsia="Times New Roman" w:hAnsi="Times New Roman" w:cs="Times New Roman"/>
          <w:sz w:val="24"/>
          <w:szCs w:val="24"/>
        </w:rPr>
      </w:pPr>
    </w:p>
    <w:p w:rsidR="00B5238C" w:rsidRDefault="00B5238C" w:rsidP="00D25535">
      <w:pPr>
        <w:pStyle w:val="NoSpacing"/>
        <w:spacing w:line="360" w:lineRule="auto"/>
        <w:rPr>
          <w:rFonts w:ascii="Times New Roman" w:eastAsia="Times New Roman" w:hAnsi="Times New Roman" w:cs="Times New Roman"/>
          <w:sz w:val="24"/>
          <w:szCs w:val="24"/>
        </w:rPr>
      </w:pPr>
    </w:p>
    <w:p w:rsidR="00B5238C" w:rsidRPr="00111B84" w:rsidRDefault="00B5238C" w:rsidP="00D25535">
      <w:pPr>
        <w:pStyle w:val="NoSpacing"/>
        <w:spacing w:line="360" w:lineRule="auto"/>
        <w:rPr>
          <w:rFonts w:ascii="Times New Roman" w:eastAsia="Times New Roman" w:hAnsi="Times New Roman" w:cs="Times New Roman"/>
          <w:sz w:val="24"/>
          <w:szCs w:val="24"/>
        </w:rPr>
      </w:pPr>
    </w:p>
    <w:p w:rsidR="007A77CE" w:rsidRPr="00111B84" w:rsidRDefault="007A77CE" w:rsidP="00D25535">
      <w:pPr>
        <w:pStyle w:val="NoSpacing"/>
        <w:numPr>
          <w:ilvl w:val="0"/>
          <w:numId w:val="20"/>
        </w:numPr>
        <w:spacing w:line="360" w:lineRule="auto"/>
        <w:ind w:left="0" w:firstLine="0"/>
        <w:rPr>
          <w:rFonts w:ascii="Times New Roman" w:hAnsi="Times New Roman" w:cs="Times New Roman"/>
          <w:b/>
          <w:sz w:val="24"/>
          <w:szCs w:val="24"/>
        </w:rPr>
      </w:pPr>
      <w:r w:rsidRPr="00111B84">
        <w:rPr>
          <w:rFonts w:ascii="Times New Roman" w:eastAsia="Times New Roman" w:hAnsi="Times New Roman" w:cs="Times New Roman"/>
          <w:b/>
          <w:sz w:val="24"/>
          <w:szCs w:val="24"/>
        </w:rPr>
        <w:lastRenderedPageBreak/>
        <w:t>Profitability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Profitability ratios are calculated to measure the efficiency of operation of a firm in terms of profit. It is the indicator of the financial performances of any institution. This implies that higher the profitability ratio, better the financial performance of the bank and vice versa. Profitability position can be evaluated through following different way.</w:t>
      </w:r>
    </w:p>
    <w:p w:rsidR="00871E89" w:rsidRPr="00111B84" w:rsidRDefault="00871E89"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Net Profit to Total Assets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Return on total assets ratio measure the profitability with respect to the total assets. In the present study, the ratio is calculated and analyzed to measure the profitability of all financial resources invested in the bank’s assets, a higher ratio usually indicates efficiency in utilizing its overall resources and vice versa. The ratio can be computed by following process.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Net profit to total assets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Net Profit</m:t>
            </m:r>
          </m:num>
          <m:den>
            <m:r>
              <m:rPr>
                <m:sty m:val="p"/>
              </m:rPr>
              <w:rPr>
                <w:rFonts w:ascii="Cambria Math" w:hAnsi="Times New Roman" w:cs="Times New Roman"/>
                <w:sz w:val="24"/>
                <w:szCs w:val="24"/>
              </w:rPr>
              <m:t>Total Assets</m:t>
            </m:r>
          </m:den>
        </m:f>
      </m:oMath>
    </w:p>
    <w:p w:rsidR="007A77CE" w:rsidRPr="00111B84" w:rsidRDefault="007A77CE" w:rsidP="00D25535">
      <w:pPr>
        <w:spacing w:after="0" w:line="360" w:lineRule="auto"/>
        <w:jc w:val="both"/>
        <w:rPr>
          <w:rFonts w:ascii="Times New Roman" w:hAnsi="Times New Roman" w:cs="Times New Roman"/>
          <w:b/>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Net Profit to Loan and Advances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Return on loan and advances ratio shows how efficiently the banks and the other financial institutions have utilized their resources to earn good return from providing loan and advances. This ratio is computed by dividing net profit/loss by the total amount of loan and advances. This can be shown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Net profit to loan and advances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Net Profit </m:t>
            </m:r>
          </m:num>
          <m:den>
            <m:r>
              <m:rPr>
                <m:sty m:val="p"/>
              </m:rPr>
              <w:rPr>
                <w:rFonts w:ascii="Cambria Math" w:hAnsi="Times New Roman" w:cs="Times New Roman"/>
                <w:sz w:val="24"/>
                <w:szCs w:val="24"/>
              </w:rPr>
              <m:t>Loan and Advances</m:t>
            </m:r>
          </m:den>
        </m:f>
      </m:oMath>
    </w:p>
    <w:p w:rsidR="007A77CE" w:rsidRPr="00111B84" w:rsidRDefault="007A77CE" w:rsidP="00D25535">
      <w:pPr>
        <w:spacing w:after="0" w:line="360" w:lineRule="auto"/>
        <w:jc w:val="both"/>
        <w:rPr>
          <w:rFonts w:ascii="Times New Roman" w:hAnsi="Times New Roman" w:cs="Times New Roman"/>
          <w:b/>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Total Interest Income from Total Investment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actually measures the total interest income from total investment. A high ratio of interest income from investment indicates high mobilization of collected deposits in investment and vice versa. This ratio is calculated by dividing total interest income from total investment by total investment and can be mentioned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Total interest income from total investment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Total Interest Income from Total Investment</m:t>
            </m:r>
          </m:num>
          <m:den>
            <m:r>
              <m:rPr>
                <m:sty m:val="p"/>
              </m:rPr>
              <w:rPr>
                <w:rFonts w:ascii="Cambria Math" w:hAnsi="Times New Roman" w:cs="Times New Roman"/>
                <w:sz w:val="24"/>
                <w:szCs w:val="24"/>
              </w:rPr>
              <m:t xml:space="preserve">Total Investment </m:t>
            </m:r>
          </m:den>
        </m:f>
      </m:oMath>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lastRenderedPageBreak/>
        <w:t>Total Interest Income from Loan and Advances and Bill Collection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reveals how much interest income from total loan and advance and bill collection. Higher ratio implies better performance of the bank in terms of interest earning on its total loan and advances and bill collection and vice versa. This ratio is calculated by diving total interest income from money at call and others. The ratio can be presented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Total interest income from total investment ratio = </w:t>
      </w:r>
      <m:oMath>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Total Interest Loan </m:t>
            </m:r>
            <m:r>
              <w:rPr>
                <w:rFonts w:ascii="Cambria Math" w:hAnsi="Times New Roman" w:cs="Times New Roman"/>
                <w:sz w:val="24"/>
                <w:szCs w:val="24"/>
              </w:rPr>
              <m:t xml:space="preserve">&amp; </m:t>
            </m:r>
            <m:r>
              <w:rPr>
                <w:rFonts w:ascii="Cambria Math" w:hAnsi="Cambria Math" w:cs="Times New Roman"/>
                <w:sz w:val="24"/>
                <w:szCs w:val="24"/>
              </w:rPr>
              <m:t>Advances</m:t>
            </m:r>
            <m:r>
              <w:rPr>
                <w:rFonts w:ascii="Cambria Math" w:hAnsi="Times New Roman" w:cs="Times New Roman"/>
                <w:sz w:val="24"/>
                <w:szCs w:val="24"/>
              </w:rPr>
              <m:t xml:space="preserve"> &amp; </m:t>
            </m:r>
            <m:r>
              <w:rPr>
                <w:rFonts w:ascii="Cambria Math" w:hAnsi="Cambria Math" w:cs="Times New Roman"/>
                <w:sz w:val="24"/>
                <w:szCs w:val="24"/>
              </w:rPr>
              <m:t>Bill</m:t>
            </m:r>
            <m:r>
              <w:rPr>
                <w:rFonts w:ascii="Cambria Math" w:hAnsi="Times New Roman" w:cs="Times New Roman"/>
                <w:sz w:val="24"/>
                <w:szCs w:val="24"/>
              </w:rPr>
              <m:t xml:space="preserve"> </m:t>
            </m:r>
            <m:r>
              <w:rPr>
                <w:rFonts w:ascii="Cambria Math" w:hAnsi="Cambria Math" w:cs="Times New Roman"/>
                <w:sz w:val="24"/>
                <w:szCs w:val="24"/>
              </w:rPr>
              <m:t>Collection</m:t>
            </m:r>
          </m:num>
          <m:den>
            <m:r>
              <m:rPr>
                <m:sty m:val="p"/>
              </m:rPr>
              <w:rPr>
                <w:rFonts w:ascii="Cambria Math" w:hAnsi="Times New Roman" w:cs="Times New Roman"/>
                <w:sz w:val="24"/>
                <w:szCs w:val="24"/>
              </w:rPr>
              <m:t>Loan and Advances and Bill Collection</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0"/>
        </w:numPr>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Risk Ratios:</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Bank has to take risk to get return on its investment. The risk is compensated by the increase in profit. These ratios indicate the amount of risk associated with the various banking operation, which ultimately influences the investment policy of the bank. To measure the risk ratios of SCBNL the following ratios has been calculated, evaluated and analyzed.</w:t>
      </w:r>
    </w:p>
    <w:p w:rsidR="00941964" w:rsidRPr="00111B84" w:rsidRDefault="00941964"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Credit Risk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Bank has risk of default or non- repayment of loan. While making investment, bank examines the credit risk involved in the project. Generally credit risk ratio helps to check the probability of loan non- repayment or the possibility of loan to go into default. Credit risk ratio is expressed as the percentage of non- performing loan to total loan and advances. This ratio is calculated by dividing total loan and advances by the total assets. It can be shown as,</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Credit risk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Total Loan and Advances</m:t>
            </m:r>
          </m:num>
          <m:den>
            <m:r>
              <m:rPr>
                <m:sty m:val="p"/>
              </m:rPr>
              <w:rPr>
                <w:rFonts w:ascii="Cambria Math" w:hAnsi="Times New Roman" w:cs="Times New Roman"/>
                <w:sz w:val="24"/>
                <w:szCs w:val="24"/>
              </w:rPr>
              <m:t>Total Assets</m:t>
            </m:r>
          </m:den>
        </m:f>
      </m:oMath>
    </w:p>
    <w:p w:rsidR="007A77CE"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Capital Risk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capital risk of a bank indicates how much assets value may decline before the position of deposition and other creditors are jeopardize. Therefore, a bank must maintain adequate capital in relation to the nature and condition of its assets, its deposits liabilities and other corporate responsibilities. Capital risk ratio measures banks ability to attract deposits and interbank funds. It also determines the level of </w:t>
      </w:r>
      <w:r w:rsidRPr="00111B84">
        <w:rPr>
          <w:rFonts w:ascii="Times New Roman" w:hAnsi="Times New Roman" w:cs="Times New Roman"/>
          <w:sz w:val="24"/>
          <w:szCs w:val="24"/>
        </w:rPr>
        <w:lastRenderedPageBreak/>
        <w:t>profit, a bank can earn if a bank chooses to take high capital risk, and its ROE will be higher and vice versa. It can be shown as:</w:t>
      </w:r>
    </w:p>
    <w:p w:rsidR="007A77CE" w:rsidRPr="00111B84" w:rsidRDefault="007A77CE" w:rsidP="00D25535">
      <w:pPr>
        <w:pStyle w:val="ListParagraph"/>
        <w:spacing w:after="0" w:line="360" w:lineRule="auto"/>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sz w:val="24"/>
          <w:szCs w:val="24"/>
        </w:rPr>
      </w:pPr>
      <w:r w:rsidRPr="00111B84">
        <w:rPr>
          <w:rFonts w:ascii="Times New Roman" w:hAnsi="Times New Roman" w:cs="Times New Roman"/>
          <w:sz w:val="24"/>
          <w:szCs w:val="24"/>
        </w:rPr>
        <w:t xml:space="preserve">Capital risk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Share Capital (Paid up+Reserves)</m:t>
            </m:r>
          </m:num>
          <m:den>
            <m:r>
              <m:rPr>
                <m:sty m:val="p"/>
              </m:rPr>
              <w:rPr>
                <w:rFonts w:ascii="Cambria Math" w:hAnsi="Times New Roman" w:cs="Times New Roman"/>
                <w:sz w:val="24"/>
                <w:szCs w:val="24"/>
              </w:rPr>
              <m:t>Risk Weighted Assets</m:t>
            </m:r>
          </m:den>
        </m:f>
      </m:oMath>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Only loan and advances are taken as risk weighted assets.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0"/>
        </w:numPr>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Activity or Performing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Activity or performing ratio represent measure the lending efficiency in terms of quality and turnover. For the purpose the relationship of different variables of balance sheet and profit and loss account have been used. The following ratios are analyzed for this purpose.</w:t>
      </w: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Non- Performing Loans to Total Loans and Advances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ratio measures the proportion of non- performing loans on the total volume of loans and advances. This reflects the quality assets that the bank has. The higher ratio indicates the bad performance of the bank in mobilizing loans and advances and bad recovery rate and vice versa. It can be shown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Non-performing loans to total loans and advances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Non Performing Loan</m:t>
            </m:r>
          </m:num>
          <m:den>
            <m:r>
              <m:rPr>
                <m:sty m:val="p"/>
              </m:rPr>
              <w:rPr>
                <w:rFonts w:ascii="Cambria Math" w:hAnsi="Times New Roman" w:cs="Times New Roman"/>
                <w:sz w:val="24"/>
                <w:szCs w:val="24"/>
              </w:rPr>
              <m:t>Total Loans and Advances</m:t>
            </m:r>
          </m:den>
        </m:f>
      </m:oMath>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Loan Loss Provision to Total Loans and Advances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This ratio measures the quality of assets that a bank is holding and the possibility of loan default of a bank. This ratio helps to signify the good quality of assets in the total volume of loans and advances. This ratio clearly describes how </w:t>
      </w:r>
      <w:proofErr w:type="gramStart"/>
      <w:r w:rsidRPr="00111B84">
        <w:rPr>
          <w:rFonts w:ascii="Times New Roman" w:hAnsi="Times New Roman" w:cs="Times New Roman"/>
          <w:sz w:val="24"/>
          <w:szCs w:val="24"/>
        </w:rPr>
        <w:t>much</w:t>
      </w:r>
      <w:proofErr w:type="gramEnd"/>
      <w:r w:rsidRPr="00111B84">
        <w:rPr>
          <w:rFonts w:ascii="Times New Roman" w:hAnsi="Times New Roman" w:cs="Times New Roman"/>
          <w:sz w:val="24"/>
          <w:szCs w:val="24"/>
        </w:rPr>
        <w:t xml:space="preserve"> risky assets in the volume of loan and advance. It indicates how efficiently it manages its loan and advances and makes efforts for loan recovery. Higher ratio implies higher portion of non-performing loan in the total loan portfolio. It can be shown as:</w:t>
      </w:r>
    </w:p>
    <w:p w:rsidR="007A77CE" w:rsidRPr="00111B84" w:rsidRDefault="007A77CE" w:rsidP="00D25535">
      <w:pPr>
        <w:spacing w:after="0" w:line="360" w:lineRule="auto"/>
        <w:jc w:val="both"/>
        <w:rPr>
          <w:rFonts w:ascii="Times New Roman" w:hAnsi="Times New Roman" w:cs="Times New Roman"/>
          <w:sz w:val="24"/>
          <w:szCs w:val="24"/>
        </w:rPr>
      </w:pPr>
    </w:p>
    <w:p w:rsidR="007A77CE" w:rsidRDefault="007A77CE" w:rsidP="00D25535">
      <w:pPr>
        <w:spacing w:after="0" w:line="360" w:lineRule="auto"/>
        <w:jc w:val="both"/>
        <w:rPr>
          <w:rFonts w:ascii="Times New Roman" w:eastAsiaTheme="minorEastAsia" w:hAnsi="Times New Roman" w:cs="Times New Roman"/>
          <w:sz w:val="24"/>
          <w:szCs w:val="24"/>
        </w:rPr>
      </w:pPr>
      <w:r w:rsidRPr="00111B84">
        <w:rPr>
          <w:rFonts w:ascii="Times New Roman" w:hAnsi="Times New Roman" w:cs="Times New Roman"/>
          <w:sz w:val="24"/>
          <w:szCs w:val="24"/>
        </w:rPr>
        <w:t xml:space="preserve">Loan loss provision to total loans and advances ratio= </w:t>
      </w:r>
      <m:oMath>
        <m:f>
          <m:fPr>
            <m:ctrlPr>
              <w:rPr>
                <w:rFonts w:ascii="Cambria Math" w:hAnsi="Times New Roman" w:cs="Times New Roman"/>
                <w:sz w:val="24"/>
                <w:szCs w:val="24"/>
              </w:rPr>
            </m:ctrlPr>
          </m:fPr>
          <m:num>
            <m:r>
              <m:rPr>
                <m:sty m:val="p"/>
              </m:rPr>
              <w:rPr>
                <w:rFonts w:ascii="Cambria Math" w:hAnsi="Times New Roman" w:cs="Times New Roman"/>
                <w:sz w:val="24"/>
                <w:szCs w:val="24"/>
              </w:rPr>
              <m:t>Loan Loss Provision</m:t>
            </m:r>
          </m:num>
          <m:den>
            <m:r>
              <m:rPr>
                <m:sty m:val="p"/>
              </m:rPr>
              <w:rPr>
                <w:rFonts w:ascii="Cambria Math" w:hAnsi="Times New Roman" w:cs="Times New Roman"/>
                <w:sz w:val="24"/>
                <w:szCs w:val="24"/>
              </w:rPr>
              <m:t>Total Loan and Advances</m:t>
            </m:r>
          </m:den>
        </m:f>
      </m:oMath>
    </w:p>
    <w:p w:rsidR="00871E89" w:rsidRPr="00111B84" w:rsidRDefault="00871E89"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0"/>
        </w:numPr>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Growth Ratio:</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Growth ratio represents how well the banks are maintaining their economic and financial condition. It is related to the fund mobilization and investment management </w:t>
      </w:r>
      <w:r w:rsidRPr="00111B84">
        <w:rPr>
          <w:rFonts w:ascii="Times New Roman" w:hAnsi="Times New Roman" w:cs="Times New Roman"/>
          <w:sz w:val="24"/>
          <w:szCs w:val="24"/>
        </w:rPr>
        <w:lastRenderedPageBreak/>
        <w:t>of the bank. The higher ratio represents the superior performance. To measure the risk ratios of EBL, following ratio has been calculated and analyzed.</w:t>
      </w:r>
    </w:p>
    <w:p w:rsidR="007A77CE" w:rsidRPr="00111B84" w:rsidRDefault="007A77CE" w:rsidP="00D25535">
      <w:pPr>
        <w:pStyle w:val="ListParagraph"/>
        <w:numPr>
          <w:ilvl w:val="0"/>
          <w:numId w:val="21"/>
        </w:numPr>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Growth ratio of total deposit</w:t>
      </w:r>
    </w:p>
    <w:p w:rsidR="007A77CE" w:rsidRPr="00111B84" w:rsidRDefault="007A77CE" w:rsidP="00D25535">
      <w:pPr>
        <w:pStyle w:val="ListParagraph"/>
        <w:numPr>
          <w:ilvl w:val="0"/>
          <w:numId w:val="21"/>
        </w:numPr>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 xml:space="preserve">Growth ratio of total investment </w:t>
      </w:r>
    </w:p>
    <w:p w:rsidR="007A77CE" w:rsidRPr="00111B84" w:rsidRDefault="007A77CE" w:rsidP="00D25535">
      <w:pPr>
        <w:pStyle w:val="ListParagraph"/>
        <w:numPr>
          <w:ilvl w:val="0"/>
          <w:numId w:val="21"/>
        </w:numPr>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Growth ratio of loan and advances</w:t>
      </w:r>
    </w:p>
    <w:p w:rsidR="007A77CE" w:rsidRPr="00111B84" w:rsidRDefault="007A77CE" w:rsidP="00D25535">
      <w:pPr>
        <w:pStyle w:val="ListParagraph"/>
        <w:numPr>
          <w:ilvl w:val="0"/>
          <w:numId w:val="21"/>
        </w:numPr>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Growth ratio of net profit</w:t>
      </w:r>
    </w:p>
    <w:p w:rsidR="007A77CE" w:rsidRPr="00111B84" w:rsidRDefault="007A77CE" w:rsidP="00D25535">
      <w:pPr>
        <w:pStyle w:val="ListParagraph"/>
        <w:spacing w:after="0" w:line="360" w:lineRule="auto"/>
        <w:ind w:left="1440"/>
        <w:jc w:val="both"/>
        <w:rPr>
          <w:rFonts w:ascii="Times New Roman" w:hAnsi="Times New Roman" w:cs="Times New Roman"/>
          <w:sz w:val="24"/>
          <w:szCs w:val="24"/>
        </w:rPr>
      </w:pPr>
    </w:p>
    <w:p w:rsidR="007A77CE" w:rsidRPr="00111B84" w:rsidRDefault="007A77CE" w:rsidP="00D25535">
      <w:pPr>
        <w:pStyle w:val="ListParagraph"/>
        <w:spacing w:after="0" w:line="360" w:lineRule="auto"/>
        <w:ind w:left="0"/>
        <w:jc w:val="both"/>
        <w:rPr>
          <w:rFonts w:ascii="Times New Roman" w:hAnsi="Times New Roman" w:cs="Times New Roman"/>
          <w:b/>
          <w:sz w:val="24"/>
          <w:szCs w:val="24"/>
        </w:rPr>
      </w:pPr>
      <w:r w:rsidRPr="00111B84">
        <w:rPr>
          <w:rFonts w:ascii="Times New Roman" w:hAnsi="Times New Roman" w:cs="Times New Roman"/>
          <w:b/>
          <w:sz w:val="24"/>
          <w:szCs w:val="24"/>
        </w:rPr>
        <w:t xml:space="preserve">3.4.2. </w:t>
      </w:r>
      <w:r w:rsidRPr="00111B84">
        <w:rPr>
          <w:rFonts w:ascii="Times New Roman" w:hAnsi="Times New Roman" w:cs="Times New Roman"/>
          <w:b/>
          <w:sz w:val="24"/>
          <w:szCs w:val="24"/>
        </w:rPr>
        <w:tab/>
        <w:t>Statistical Tools:</w:t>
      </w:r>
    </w:p>
    <w:p w:rsidR="007A77CE" w:rsidRPr="00111B84" w:rsidRDefault="007A77CE" w:rsidP="00D25535">
      <w:pPr>
        <w:pStyle w:val="ListParagraph"/>
        <w:spacing w:after="0" w:line="360" w:lineRule="auto"/>
        <w:ind w:left="0"/>
        <w:jc w:val="both"/>
        <w:rPr>
          <w:rFonts w:ascii="Times New Roman" w:hAnsi="Times New Roman" w:cs="Times New Roman"/>
          <w:b/>
          <w:sz w:val="24"/>
          <w:szCs w:val="24"/>
        </w:rPr>
      </w:pPr>
      <w:r w:rsidRPr="00111B84">
        <w:rPr>
          <w:rFonts w:ascii="Times New Roman" w:hAnsi="Times New Roman" w:cs="Times New Roman"/>
          <w:sz w:val="24"/>
          <w:szCs w:val="24"/>
        </w:rPr>
        <w:t>Statistical tools help to find out the trends of financial position of the bank. It also analyzes the relationship between variables and helps banks to make appropriate investment policy regarding to profit maximization and deposit collection, fund utilization through providing loan and advances or investment on other companies. Ranges of statistical tools are also used to analyze the collected data and to achieve the objectives of the study. Simple analytical tools such as standard deviation, Karl Pearson’s coefficient of correlation, trend analysis adopted which are as follows:</w:t>
      </w:r>
    </w:p>
    <w:p w:rsidR="007A77CE" w:rsidRPr="00111B84" w:rsidRDefault="007A77CE" w:rsidP="00D25535">
      <w:pPr>
        <w:pStyle w:val="ListParagraph"/>
        <w:spacing w:after="0" w:line="360" w:lineRule="auto"/>
        <w:ind w:left="1440"/>
        <w:jc w:val="both"/>
        <w:rPr>
          <w:rFonts w:ascii="Times New Roman" w:hAnsi="Times New Roman" w:cs="Times New Roman"/>
          <w:sz w:val="24"/>
          <w:szCs w:val="24"/>
        </w:rPr>
      </w:pPr>
    </w:p>
    <w:p w:rsidR="007A77CE" w:rsidRPr="00111B84" w:rsidRDefault="007A77CE" w:rsidP="00D25535">
      <w:pPr>
        <w:pStyle w:val="ListParagraph"/>
        <w:numPr>
          <w:ilvl w:val="0"/>
          <w:numId w:val="22"/>
        </w:numPr>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Arithmetic Mean (Average):</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It represents the entire data by a single value. It provides the gist and gives the bird’s eye view of the huge mass of unwieldy numerical data. It is calculated as:</w:t>
      </w:r>
    </w:p>
    <w:p w:rsidR="007A77CE" w:rsidRPr="00111B84" w:rsidRDefault="00831320" w:rsidP="00D25535">
      <w:pPr>
        <w:spacing w:after="0" w:line="360" w:lineRule="auto"/>
        <w:jc w:val="both"/>
        <w:rPr>
          <w:rFonts w:ascii="Times New Roman" w:hAnsi="Times New Roman" w:cs="Times New Roman"/>
          <w:sz w:val="24"/>
          <w:szCs w:val="24"/>
        </w:rPr>
      </w:pPr>
      <m:oMath>
        <m:acc>
          <m:accPr>
            <m:chr m:val="̅"/>
            <m:ctrlPr>
              <w:rPr>
                <w:rFonts w:ascii="Cambria Math" w:hAnsi="Times New Roman" w:cs="Times New Roman"/>
                <w:sz w:val="24"/>
                <w:szCs w:val="24"/>
              </w:rPr>
            </m:ctrlPr>
          </m:accPr>
          <m:e>
            <m:r>
              <m:rPr>
                <m:sty m:val="p"/>
              </m:rPr>
              <w:rPr>
                <w:rFonts w:ascii="Cambria Math" w:hAnsi="Times New Roman" w:cs="Times New Roman"/>
                <w:sz w:val="24"/>
                <w:szCs w:val="24"/>
              </w:rPr>
              <m:t>X</m:t>
            </m:r>
          </m:e>
        </m:acc>
      </m:oMath>
      <w:r w:rsidR="007A77CE" w:rsidRPr="00111B84">
        <w:rPr>
          <w:rFonts w:ascii="Times New Roman" w:hAnsi="Times New Roman" w:cs="Times New Roman"/>
          <w:sz w:val="24"/>
          <w:szCs w:val="24"/>
        </w:rPr>
        <w:t xml:space="preserve"> </w:t>
      </w:r>
      <w:r w:rsidR="007A77CE" w:rsidRPr="00111B84">
        <w:rPr>
          <w:rFonts w:ascii="Times New Roman" w:hAnsi="Times New Roman" w:cs="Times New Roman"/>
          <w:sz w:val="24"/>
          <w:szCs w:val="24"/>
        </w:rPr>
        <w:tab/>
        <w:t>=</w:t>
      </w:r>
      <w:r w:rsidR="007A77CE" w:rsidRPr="00111B84">
        <w:rPr>
          <w:rFonts w:ascii="Times New Roman" w:hAnsi="Times New Roman" w:cs="Times New Roman"/>
          <w:sz w:val="24"/>
          <w:szCs w:val="24"/>
        </w:rPr>
        <w:tab/>
      </w:r>
      <m:oMath>
        <m:f>
          <m:fPr>
            <m:ctrlPr>
              <w:rPr>
                <w:rFonts w:ascii="Cambria Math" w:hAnsi="Times New Roman" w:cs="Times New Roman"/>
                <w:sz w:val="24"/>
                <w:szCs w:val="24"/>
              </w:rPr>
            </m:ctrlPr>
          </m:fPr>
          <m:num>
            <m:r>
              <m:rPr>
                <m:sty m:val="p"/>
              </m:rPr>
              <w:rPr>
                <w:rFonts w:ascii="Cambria Math" w:hAnsi="Times New Roman" w:cs="Times New Roman"/>
                <w:sz w:val="24"/>
                <w:szCs w:val="24"/>
              </w:rPr>
              <m:t>∑</m:t>
            </m:r>
            <m:r>
              <m:rPr>
                <m:sty m:val="p"/>
              </m:rPr>
              <w:rPr>
                <w:rFonts w:ascii="Cambria Math" w:hAnsi="Times New Roman" w:cs="Times New Roman"/>
                <w:sz w:val="24"/>
                <w:szCs w:val="24"/>
              </w:rPr>
              <m:t>X</m:t>
            </m:r>
          </m:num>
          <m:den>
            <m:r>
              <m:rPr>
                <m:sty m:val="p"/>
              </m:rPr>
              <w:rPr>
                <w:rFonts w:ascii="Cambria Math" w:hAnsi="Times New Roman" w:cs="Times New Roman"/>
                <w:sz w:val="24"/>
                <w:szCs w:val="24"/>
              </w:rPr>
              <m:t>N</m:t>
            </m:r>
          </m:den>
        </m:f>
      </m:oMath>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Where,</w:t>
      </w:r>
    </w:p>
    <w:p w:rsidR="007A77CE" w:rsidRPr="00111B84" w:rsidRDefault="00831320" w:rsidP="00D25535">
      <w:pPr>
        <w:spacing w:after="0" w:line="360" w:lineRule="auto"/>
        <w:jc w:val="both"/>
        <w:rPr>
          <w:rFonts w:ascii="Times New Roman" w:hAnsi="Times New Roman" w:cs="Times New Roman"/>
          <w:sz w:val="24"/>
          <w:szCs w:val="24"/>
        </w:rPr>
      </w:pPr>
      <m:oMath>
        <m:acc>
          <m:accPr>
            <m:chr m:val="̅"/>
            <m:ctrlPr>
              <w:rPr>
                <w:rFonts w:ascii="Cambria Math" w:hAnsi="Times New Roman" w:cs="Times New Roman"/>
                <w:sz w:val="24"/>
                <w:szCs w:val="24"/>
              </w:rPr>
            </m:ctrlPr>
          </m:accPr>
          <m:e>
            <m:r>
              <m:rPr>
                <m:sty m:val="p"/>
              </m:rPr>
              <w:rPr>
                <w:rFonts w:ascii="Cambria Math" w:hAnsi="Times New Roman" w:cs="Times New Roman"/>
                <w:sz w:val="24"/>
                <w:szCs w:val="24"/>
              </w:rPr>
              <m:t>X</m:t>
            </m:r>
          </m:e>
        </m:acc>
      </m:oMath>
      <w:r w:rsidR="007A77CE" w:rsidRPr="00111B84">
        <w:rPr>
          <w:rFonts w:ascii="Times New Roman" w:hAnsi="Times New Roman" w:cs="Times New Roman"/>
          <w:sz w:val="24"/>
          <w:szCs w:val="24"/>
        </w:rPr>
        <w:t xml:space="preserve"> </w:t>
      </w:r>
      <w:r w:rsidR="007A77CE" w:rsidRPr="00111B84">
        <w:rPr>
          <w:rFonts w:ascii="Times New Roman" w:hAnsi="Times New Roman" w:cs="Times New Roman"/>
          <w:sz w:val="24"/>
          <w:szCs w:val="24"/>
        </w:rPr>
        <w:tab/>
        <w:t>= arithmetic mean</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N</w:t>
      </w:r>
      <w:r w:rsidRPr="00111B84">
        <w:rPr>
          <w:rFonts w:ascii="Times New Roman" w:hAnsi="Times New Roman" w:cs="Times New Roman"/>
          <w:sz w:val="24"/>
          <w:szCs w:val="24"/>
        </w:rPr>
        <w:tab/>
        <w:t>= no. of observation</w:t>
      </w:r>
    </w:p>
    <w:p w:rsidR="007A77CE" w:rsidRDefault="00831320" w:rsidP="00D25535">
      <w:pPr>
        <w:spacing w:after="0" w:line="360" w:lineRule="auto"/>
        <w:jc w:val="both"/>
        <w:rPr>
          <w:rFonts w:ascii="Times New Roman" w:hAnsi="Times New Roman" w:cs="Times New Roman"/>
          <w:sz w:val="24"/>
          <w:szCs w:val="24"/>
        </w:rPr>
      </w:pPr>
      <m:oMath>
        <m:nary>
          <m:naryPr>
            <m:chr m:val="∑"/>
            <m:limLoc m:val="undOvr"/>
            <m:subHide m:val="1"/>
            <m:supHide m:val="1"/>
            <m:ctrlPr>
              <w:rPr>
                <w:rFonts w:ascii="Cambria Math" w:hAnsi="Times New Roman" w:cs="Times New Roman"/>
                <w:i/>
                <w:sz w:val="24"/>
                <w:szCs w:val="24"/>
              </w:rPr>
            </m:ctrlPr>
          </m:naryPr>
          <m:sub/>
          <m:sup/>
          <m:e>
            <m:r>
              <m:rPr>
                <m:sty m:val="p"/>
              </m:rPr>
              <w:rPr>
                <w:rFonts w:ascii="Cambria Math" w:hAnsi="Times New Roman" w:cs="Times New Roman"/>
                <w:sz w:val="24"/>
                <w:szCs w:val="24"/>
              </w:rPr>
              <m:t>X</m:t>
            </m:r>
          </m:e>
        </m:nary>
      </m:oMath>
      <w:r w:rsidR="007A77CE" w:rsidRPr="00111B84">
        <w:rPr>
          <w:rFonts w:ascii="Times New Roman" w:hAnsi="Times New Roman" w:cs="Times New Roman"/>
          <w:sz w:val="24"/>
          <w:szCs w:val="24"/>
        </w:rPr>
        <w:tab/>
        <w:t>= sum of observations</w:t>
      </w:r>
    </w:p>
    <w:p w:rsidR="00B5238C" w:rsidRPr="00111B84" w:rsidRDefault="00B5238C"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2"/>
        </w:numPr>
        <w:tabs>
          <w:tab w:val="left" w:pos="0"/>
        </w:tabs>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Standard Deviation:</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Standard deviation is an important and widely used to measure dispersion. A standard deviation is the positive square root of the arithmetic mean if the squares of the deviations of the given observations from their arithmetic mean. It is denoted by the letter </w:t>
      </w:r>
      <m:oMath>
        <m:r>
          <w:rPr>
            <w:rFonts w:ascii="Cambria Math" w:hAnsi="Cambria Math" w:cs="Times New Roman"/>
            <w:sz w:val="24"/>
            <w:szCs w:val="24"/>
          </w:rPr>
          <m:t>σ</m:t>
        </m:r>
      </m:oMath>
      <w:r w:rsidRPr="00111B84">
        <w:rPr>
          <w:rFonts w:ascii="Times New Roman" w:hAnsi="Times New Roman" w:cs="Times New Roman"/>
          <w:sz w:val="24"/>
          <w:szCs w:val="24"/>
        </w:rPr>
        <w:t xml:space="preserve"> (sigma). In this study standard deviation of different ratios are calculated.</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Thus, </w:t>
      </w:r>
    </w:p>
    <w:p w:rsidR="007A77CE" w:rsidRPr="00111B84" w:rsidRDefault="007A77CE" w:rsidP="00D25535">
      <w:pPr>
        <w:spacing w:after="0"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w:lastRenderedPageBreak/>
            <m:t>σ</m:t>
          </m:r>
          <m:r>
            <m:rPr>
              <m:sty m:val="p"/>
            </m:rPr>
            <w:rPr>
              <w:rFonts w:ascii="Cambria Math" w:hAnsi="Times New Roman" w:cs="Times New Roman"/>
              <w:sz w:val="24"/>
              <w:szCs w:val="24"/>
            </w:rPr>
            <m:t xml:space="preserve">= </m:t>
          </m:r>
          <m:rad>
            <m:radPr>
              <m:degHide m:val="1"/>
              <m:ctrlPr>
                <w:rPr>
                  <w:rFonts w:ascii="Cambria Math" w:hAnsi="Times New Roman" w:cs="Times New Roman"/>
                  <w:sz w:val="24"/>
                  <w:szCs w:val="24"/>
                </w:rPr>
              </m:ctrlPr>
            </m:radPr>
            <m:deg/>
            <m:e>
              <m:f>
                <m:fPr>
                  <m:ctrlPr>
                    <w:rPr>
                      <w:rFonts w:ascii="Cambria Math" w:hAnsi="Times New Roman" w:cs="Times New Roman"/>
                      <w:sz w:val="24"/>
                      <w:szCs w:val="24"/>
                    </w:rPr>
                  </m:ctrlPr>
                </m:fPr>
                <m:num>
                  <m:nary>
                    <m:naryPr>
                      <m:chr m:val="∑"/>
                      <m:limLoc m:val="undOvr"/>
                      <m:subHide m:val="1"/>
                      <m:supHide m:val="1"/>
                      <m:ctrlPr>
                        <w:rPr>
                          <w:rFonts w:ascii="Cambria Math" w:hAnsi="Times New Roman" w:cs="Times New Roman"/>
                          <w:sz w:val="24"/>
                          <w:szCs w:val="24"/>
                        </w:rPr>
                      </m:ctrlPr>
                    </m:naryPr>
                    <m:sub/>
                    <m:sup/>
                    <m:e>
                      <m:sSup>
                        <m:sSupPr>
                          <m:ctrlPr>
                            <w:rPr>
                              <w:rFonts w:ascii="Cambria Math" w:hAnsi="Times New Roman" w:cs="Times New Roman"/>
                              <w:sz w:val="24"/>
                              <w:szCs w:val="24"/>
                            </w:rPr>
                          </m:ctrlPr>
                        </m:sSupPr>
                        <m:e>
                          <m:r>
                            <m:rPr>
                              <m:sty m:val="p"/>
                            </m:rPr>
                            <w:rPr>
                              <w:rFonts w:ascii="Cambria Math" w:hAnsi="Times New Roman" w:cs="Times New Roman"/>
                              <w:sz w:val="24"/>
                              <w:szCs w:val="24"/>
                            </w:rPr>
                            <m:t>X</m:t>
                          </m:r>
                        </m:e>
                        <m:sup>
                          <m:r>
                            <m:rPr>
                              <m:sty m:val="p"/>
                            </m:rPr>
                            <w:rPr>
                              <w:rFonts w:ascii="Cambria Math" w:hAnsi="Times New Roman" w:cs="Times New Roman"/>
                              <w:sz w:val="24"/>
                              <w:szCs w:val="24"/>
                            </w:rPr>
                            <m:t>2</m:t>
                          </m:r>
                        </m:sup>
                      </m:sSup>
                    </m:e>
                  </m:nary>
                </m:num>
                <m:den>
                  <m:r>
                    <m:rPr>
                      <m:sty m:val="p"/>
                    </m:rPr>
                    <w:rPr>
                      <w:rFonts w:ascii="Cambria Math" w:hAnsi="Times New Roman" w:cs="Times New Roman"/>
                      <w:sz w:val="24"/>
                      <w:szCs w:val="24"/>
                    </w:rPr>
                    <m:t>N</m:t>
                  </m:r>
                </m:den>
              </m:f>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d>
                    <m:dPr>
                      <m:ctrlPr>
                        <w:rPr>
                          <w:rFonts w:ascii="Cambria Math" w:hAnsi="Times New Roman" w:cs="Times New Roman"/>
                          <w:sz w:val="24"/>
                          <w:szCs w:val="24"/>
                        </w:rPr>
                      </m:ctrlPr>
                    </m:dPr>
                    <m:e>
                      <m:f>
                        <m:fPr>
                          <m:ctrlPr>
                            <w:rPr>
                              <w:rFonts w:ascii="Cambria Math" w:hAnsi="Times New Roman" w:cs="Times New Roman"/>
                              <w:sz w:val="24"/>
                              <w:szCs w:val="24"/>
                            </w:rPr>
                          </m:ctrlPr>
                        </m:fPr>
                        <m:num>
                          <m:nary>
                            <m:naryPr>
                              <m:chr m:val="∑"/>
                              <m:limLoc m:val="undOvr"/>
                              <m:subHide m:val="1"/>
                              <m:supHide m:val="1"/>
                              <m:ctrlPr>
                                <w:rPr>
                                  <w:rFonts w:ascii="Cambria Math" w:hAnsi="Times New Roman" w:cs="Times New Roman"/>
                                  <w:sz w:val="24"/>
                                  <w:szCs w:val="24"/>
                                </w:rPr>
                              </m:ctrlPr>
                            </m:naryPr>
                            <m:sub/>
                            <m:sup/>
                            <m:e>
                              <m:r>
                                <m:rPr>
                                  <m:sty m:val="p"/>
                                </m:rPr>
                                <w:rPr>
                                  <w:rFonts w:ascii="Cambria Math" w:hAnsi="Times New Roman" w:cs="Times New Roman"/>
                                  <w:sz w:val="24"/>
                                  <w:szCs w:val="24"/>
                                </w:rPr>
                                <m:t>X</m:t>
                              </m:r>
                            </m:e>
                          </m:nary>
                        </m:num>
                        <m:den>
                          <m:r>
                            <m:rPr>
                              <m:sty m:val="p"/>
                            </m:rPr>
                            <w:rPr>
                              <w:rFonts w:ascii="Cambria Math" w:hAnsi="Times New Roman" w:cs="Times New Roman"/>
                              <w:sz w:val="24"/>
                              <w:szCs w:val="24"/>
                            </w:rPr>
                            <m:t>N</m:t>
                          </m:r>
                        </m:den>
                      </m:f>
                    </m:e>
                  </m:d>
                </m:e>
                <m:sup>
                  <m:r>
                    <m:rPr>
                      <m:sty m:val="p"/>
                    </m:rPr>
                    <w:rPr>
                      <w:rFonts w:ascii="Cambria Math" w:hAnsi="Times New Roman" w:cs="Times New Roman"/>
                      <w:sz w:val="24"/>
                      <w:szCs w:val="24"/>
                    </w:rPr>
                    <m:t>2</m:t>
                  </m:r>
                </m:sup>
              </m:sSup>
            </m:e>
          </m:rad>
        </m:oMath>
      </m:oMathPara>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Where, </w:t>
      </w:r>
    </w:p>
    <w:p w:rsidR="007A77CE" w:rsidRPr="00111B84" w:rsidRDefault="007A77CE" w:rsidP="00D25535">
      <w:pPr>
        <w:spacing w:after="0" w:line="360" w:lineRule="auto"/>
        <w:jc w:val="both"/>
        <w:rPr>
          <w:rFonts w:ascii="Times New Roman" w:hAnsi="Times New Roman" w:cs="Times New Roman"/>
          <w:sz w:val="24"/>
          <w:szCs w:val="24"/>
        </w:rPr>
      </w:pPr>
      <m:oMathPara>
        <m:oMathParaPr>
          <m:jc m:val="left"/>
        </m:oMathParaPr>
        <m:oMath>
          <m:r>
            <m:rPr>
              <m:sty m:val="p"/>
            </m:rPr>
            <w:rPr>
              <w:rFonts w:ascii="Cambria Math" w:hAnsi="Times New Roman" w:cs="Times New Roman"/>
              <w:sz w:val="24"/>
              <w:szCs w:val="24"/>
            </w:rPr>
            <m:t>σ</m:t>
          </m:r>
          <m:r>
            <m:rPr>
              <m:sty m:val="p"/>
            </m:rPr>
            <w:rPr>
              <w:rFonts w:ascii="Cambria Math" w:hAnsi="Times New Roman" w:cs="Times New Roman"/>
              <w:sz w:val="24"/>
              <w:szCs w:val="24"/>
            </w:rPr>
            <m:t xml:space="preserve">                       =Standard deviation</m:t>
          </m:r>
        </m:oMath>
      </m:oMathPara>
    </w:p>
    <w:p w:rsidR="007A77CE" w:rsidRPr="00111B84" w:rsidRDefault="00831320" w:rsidP="00D25535">
      <w:pPr>
        <w:spacing w:after="0" w:line="360" w:lineRule="auto"/>
        <w:jc w:val="both"/>
        <w:rPr>
          <w:rFonts w:ascii="Times New Roman" w:hAnsi="Times New Roman" w:cs="Times New Roman"/>
          <w:sz w:val="24"/>
          <w:szCs w:val="24"/>
        </w:rPr>
      </w:pPr>
      <m:oMath>
        <m:f>
          <m:fPr>
            <m:ctrlPr>
              <w:rPr>
                <w:rFonts w:ascii="Cambria Math" w:hAnsi="Times New Roman" w:cs="Times New Roman"/>
                <w:sz w:val="24"/>
                <w:szCs w:val="24"/>
              </w:rPr>
            </m:ctrlPr>
          </m:fPr>
          <m:num>
            <m:nary>
              <m:naryPr>
                <m:chr m:val="∑"/>
                <m:limLoc m:val="undOvr"/>
                <m:subHide m:val="1"/>
                <m:supHide m:val="1"/>
                <m:ctrlPr>
                  <w:rPr>
                    <w:rFonts w:ascii="Cambria Math" w:hAnsi="Times New Roman" w:cs="Times New Roman"/>
                    <w:sz w:val="24"/>
                    <w:szCs w:val="24"/>
                  </w:rPr>
                </m:ctrlPr>
              </m:naryPr>
              <m:sub/>
              <m:sup/>
              <m:e>
                <m:sSup>
                  <m:sSupPr>
                    <m:ctrlPr>
                      <w:rPr>
                        <w:rFonts w:ascii="Cambria Math" w:hAnsi="Times New Roman" w:cs="Times New Roman"/>
                        <w:sz w:val="24"/>
                        <w:szCs w:val="24"/>
                      </w:rPr>
                    </m:ctrlPr>
                  </m:sSupPr>
                  <m:e>
                    <m:r>
                      <m:rPr>
                        <m:sty m:val="p"/>
                      </m:rPr>
                      <w:rPr>
                        <w:rFonts w:ascii="Cambria Math" w:hAnsi="Times New Roman" w:cs="Times New Roman"/>
                        <w:sz w:val="24"/>
                        <w:szCs w:val="24"/>
                      </w:rPr>
                      <m:t>X</m:t>
                    </m:r>
                  </m:e>
                  <m:sup>
                    <m:r>
                      <m:rPr>
                        <m:sty m:val="p"/>
                      </m:rPr>
                      <w:rPr>
                        <w:rFonts w:ascii="Cambria Math" w:hAnsi="Times New Roman" w:cs="Times New Roman"/>
                        <w:sz w:val="24"/>
                        <w:szCs w:val="24"/>
                      </w:rPr>
                      <m:t>2</m:t>
                    </m:r>
                  </m:sup>
                </m:sSup>
              </m:e>
            </m:nary>
          </m:num>
          <m:den>
            <m:r>
              <m:rPr>
                <m:sty m:val="p"/>
              </m:rPr>
              <w:rPr>
                <w:rFonts w:ascii="Cambria Math" w:hAnsi="Times New Roman" w:cs="Times New Roman"/>
                <w:sz w:val="24"/>
                <w:szCs w:val="24"/>
              </w:rPr>
              <m:t>N</m:t>
            </m:r>
          </m:den>
        </m:f>
      </m:oMath>
      <w:r w:rsidR="007A77CE" w:rsidRPr="00111B84">
        <w:rPr>
          <w:rFonts w:ascii="Times New Roman" w:hAnsi="Times New Roman" w:cs="Times New Roman"/>
          <w:sz w:val="24"/>
          <w:szCs w:val="24"/>
        </w:rPr>
        <w:t xml:space="preserve">     </w:t>
      </w:r>
      <w:r w:rsidR="007A77CE" w:rsidRPr="00111B84">
        <w:rPr>
          <w:rFonts w:ascii="Times New Roman" w:hAnsi="Times New Roman" w:cs="Times New Roman"/>
          <w:sz w:val="24"/>
          <w:szCs w:val="24"/>
        </w:rPr>
        <w:tab/>
      </w:r>
      <w:r w:rsidR="007A77CE" w:rsidRPr="00111B84">
        <w:rPr>
          <w:rFonts w:ascii="Times New Roman" w:hAnsi="Times New Roman" w:cs="Times New Roman"/>
          <w:sz w:val="24"/>
          <w:szCs w:val="24"/>
        </w:rPr>
        <w:tab/>
        <w:t>= sum of squares of observation</w:t>
      </w:r>
    </w:p>
    <w:p w:rsidR="007A77CE" w:rsidRPr="00111B84" w:rsidRDefault="00831320" w:rsidP="00D25535">
      <w:pPr>
        <w:spacing w:after="0" w:line="360" w:lineRule="auto"/>
        <w:jc w:val="both"/>
        <w:rPr>
          <w:rFonts w:ascii="Times New Roman" w:hAnsi="Times New Roman" w:cs="Times New Roman"/>
          <w:sz w:val="24"/>
          <w:szCs w:val="24"/>
        </w:rPr>
      </w:pPr>
      <m:oMathPara>
        <m:oMathParaPr>
          <m:jc m:val="left"/>
        </m:oMathParaPr>
        <m:oMath>
          <m:sSup>
            <m:sSupPr>
              <m:ctrlPr>
                <w:rPr>
                  <w:rFonts w:ascii="Cambria Math" w:hAnsi="Times New Roman" w:cs="Times New Roman"/>
                  <w:sz w:val="24"/>
                  <w:szCs w:val="24"/>
                </w:rPr>
              </m:ctrlPr>
            </m:sSupPr>
            <m:e>
              <m:d>
                <m:dPr>
                  <m:ctrlPr>
                    <w:rPr>
                      <w:rFonts w:ascii="Cambria Math" w:hAnsi="Times New Roman" w:cs="Times New Roman"/>
                      <w:sz w:val="24"/>
                      <w:szCs w:val="24"/>
                    </w:rPr>
                  </m:ctrlPr>
                </m:dPr>
                <m:e>
                  <m:f>
                    <m:fPr>
                      <m:ctrlPr>
                        <w:rPr>
                          <w:rFonts w:ascii="Cambria Math" w:hAnsi="Times New Roman" w:cs="Times New Roman"/>
                          <w:sz w:val="24"/>
                          <w:szCs w:val="24"/>
                        </w:rPr>
                      </m:ctrlPr>
                    </m:fPr>
                    <m:num>
                      <m:nary>
                        <m:naryPr>
                          <m:chr m:val="∑"/>
                          <m:limLoc m:val="undOvr"/>
                          <m:subHide m:val="1"/>
                          <m:supHide m:val="1"/>
                          <m:ctrlPr>
                            <w:rPr>
                              <w:rFonts w:ascii="Cambria Math" w:hAnsi="Times New Roman" w:cs="Times New Roman"/>
                              <w:sz w:val="24"/>
                              <w:szCs w:val="24"/>
                            </w:rPr>
                          </m:ctrlPr>
                        </m:naryPr>
                        <m:sub/>
                        <m:sup/>
                        <m:e>
                          <m:r>
                            <m:rPr>
                              <m:sty m:val="p"/>
                            </m:rPr>
                            <w:rPr>
                              <w:rFonts w:ascii="Cambria Math" w:hAnsi="Times New Roman" w:cs="Times New Roman"/>
                              <w:sz w:val="24"/>
                              <w:szCs w:val="24"/>
                            </w:rPr>
                            <m:t>X</m:t>
                          </m:r>
                        </m:e>
                      </m:nary>
                    </m:num>
                    <m:den>
                      <m:r>
                        <m:rPr>
                          <m:sty m:val="p"/>
                        </m:rPr>
                        <w:rPr>
                          <w:rFonts w:ascii="Cambria Math" w:hAnsi="Times New Roman" w:cs="Times New Roman"/>
                          <w:sz w:val="24"/>
                          <w:szCs w:val="24"/>
                        </w:rPr>
                        <m:t>N</m:t>
                      </m:r>
                    </m:den>
                  </m:f>
                </m:e>
              </m:d>
            </m:e>
            <m:sup>
              <m:r>
                <m:rPr>
                  <m:sty m:val="p"/>
                </m:rPr>
                <w:rPr>
                  <w:rFonts w:ascii="Cambria Math" w:hAnsi="Times New Roman" w:cs="Times New Roman"/>
                  <w:sz w:val="24"/>
                  <w:szCs w:val="24"/>
                </w:rPr>
                <m:t>2</m:t>
              </m:r>
            </m:sup>
          </m:sSup>
          <m:r>
            <w:rPr>
              <w:rFonts w:ascii="Cambria Math" w:hAnsi="Times New Roman" w:cs="Times New Roman"/>
              <w:sz w:val="24"/>
              <w:szCs w:val="24"/>
            </w:rPr>
            <m:t xml:space="preserve">           =</m:t>
          </m:r>
          <m:r>
            <m:rPr>
              <m:sty m:val="p"/>
            </m:rPr>
            <w:rPr>
              <w:rFonts w:ascii="Cambria Math" w:hAnsi="Times New Roman" w:cs="Times New Roman"/>
              <w:sz w:val="24"/>
              <w:szCs w:val="24"/>
            </w:rPr>
            <m:t>sum of squares of mean</m:t>
          </m:r>
        </m:oMath>
      </m:oMathPara>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2"/>
        </w:numPr>
        <w:spacing w:after="0" w:line="360" w:lineRule="auto"/>
        <w:ind w:left="0" w:firstLine="0"/>
        <w:jc w:val="both"/>
        <w:rPr>
          <w:rFonts w:ascii="Times New Roman" w:hAnsi="Times New Roman" w:cs="Times New Roman"/>
          <w:b/>
          <w:sz w:val="24"/>
          <w:szCs w:val="24"/>
        </w:rPr>
      </w:pPr>
      <w:r w:rsidRPr="00111B84">
        <w:rPr>
          <w:rFonts w:ascii="Times New Roman" w:hAnsi="Times New Roman" w:cs="Times New Roman"/>
          <w:b/>
          <w:sz w:val="24"/>
          <w:szCs w:val="24"/>
        </w:rPr>
        <w:t xml:space="preserve">Coefficient of Variation: </w:t>
      </w: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coefficient if variation is the most commonly used measure of relative variation. It is the relative measures of dispersion, comparable across distribution, which is defined as the ratio if the standard deviation to the mean expressed in percent. It is used in such problems where the researcher wants to compare the variability of data more than two years. A series with smaller C.V. is said to be less variable or more consistent or more homogeneous or more uniform or more stable than the others and vice versa. It is calculated as:</w:t>
      </w:r>
    </w:p>
    <w:p w:rsidR="007A77CE" w:rsidRPr="00111B84" w:rsidRDefault="007A77CE" w:rsidP="00D25535">
      <w:pPr>
        <w:spacing w:after="0" w:line="360" w:lineRule="auto"/>
        <w:jc w:val="both"/>
        <w:rPr>
          <w:rFonts w:ascii="Times New Roman" w:hAnsi="Times New Roman" w:cs="Times New Roman"/>
          <w:sz w:val="24"/>
          <w:szCs w:val="24"/>
        </w:rPr>
      </w:pPr>
    </w:p>
    <w:p w:rsidR="007A77CE" w:rsidRPr="00111B84" w:rsidRDefault="007A77CE"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Coefficient of Variable= </w:t>
      </w:r>
      <m:oMath>
        <m:f>
          <m:fPr>
            <m:ctrlPr>
              <w:rPr>
                <w:rFonts w:ascii="Cambria Math" w:hAnsi="Times New Roman" w:cs="Times New Roman"/>
                <w:sz w:val="24"/>
                <w:szCs w:val="24"/>
              </w:rPr>
            </m:ctrlPr>
          </m:fPr>
          <m:num>
            <m:r>
              <m:rPr>
                <m:sty m:val="p"/>
              </m:rPr>
              <w:rPr>
                <w:rFonts w:ascii="Cambria Math" w:hAnsi="Times New Roman" w:cs="Times New Roman"/>
                <w:sz w:val="24"/>
                <w:szCs w:val="24"/>
              </w:rPr>
              <m:t>Standard Deviation</m:t>
            </m:r>
          </m:num>
          <m:den>
            <m:r>
              <m:rPr>
                <m:sty m:val="p"/>
              </m:rPr>
              <w:rPr>
                <w:rFonts w:ascii="Cambria Math" w:hAnsi="Times New Roman" w:cs="Times New Roman"/>
                <w:sz w:val="24"/>
                <w:szCs w:val="24"/>
              </w:rPr>
              <m:t>Mean</m:t>
            </m:r>
          </m:den>
        </m:f>
        <m:r>
          <m:rPr>
            <m:sty m:val="p"/>
          </m:rPr>
          <w:rPr>
            <w:rFonts w:ascii="Cambria Math" w:hAnsi="Times New Roman" w:cs="Times New Roman"/>
            <w:sz w:val="24"/>
            <w:szCs w:val="24"/>
          </w:rPr>
          <m:t xml:space="preserve"> </m:t>
        </m:r>
      </m:oMath>
      <w:r w:rsidRPr="00111B84">
        <w:rPr>
          <w:rFonts w:ascii="Times New Roman" w:hAnsi="Times New Roman" w:cs="Times New Roman"/>
          <w:sz w:val="24"/>
          <w:szCs w:val="24"/>
        </w:rPr>
        <w:t>x 100</w:t>
      </w:r>
      <w:r w:rsidR="00766977">
        <w:rPr>
          <w:rFonts w:ascii="Times New Roman" w:hAnsi="Times New Roman" w:cs="Times New Roman"/>
          <w:position w:val="-6"/>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4.4pt" equationxml="&lt;">
            <v:imagedata r:id="rId9" o:title="" chromakey="white"/>
          </v:shape>
        </w:pict>
      </w:r>
    </w:p>
    <w:p w:rsidR="007A77CE" w:rsidRPr="00111B84" w:rsidRDefault="007A77CE" w:rsidP="00D25535">
      <w:pPr>
        <w:tabs>
          <w:tab w:val="left" w:pos="1275"/>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Or, C.V. =</w:t>
      </w:r>
      <w:r w:rsidRPr="00111B84">
        <w:rPr>
          <w:rFonts w:ascii="Times New Roman" w:hAnsi="Times New Roman" w:cs="Times New Roman"/>
          <w:sz w:val="24"/>
          <w:szCs w:val="24"/>
        </w:rPr>
        <w:tab/>
        <w:t xml:space="preserve"> </w:t>
      </w:r>
      <w:r w:rsidR="00922D90" w:rsidRPr="00111B84">
        <w:rPr>
          <w:rFonts w:ascii="Times New Roman" w:hAnsi="Times New Roman" w:cs="Times New Roman"/>
          <w:sz w:val="24"/>
          <w:szCs w:val="24"/>
        </w:rPr>
        <w:fldChar w:fldCharType="begin"/>
      </w:r>
      <w:r w:rsidRPr="00111B84">
        <w:rPr>
          <w:rFonts w:ascii="Times New Roman" w:hAnsi="Times New Roman" w:cs="Times New Roman"/>
          <w:sz w:val="24"/>
          <w:szCs w:val="24"/>
        </w:rPr>
        <w:instrText xml:space="preserve"> QUOTE </w:instrText>
      </w:r>
      <w:r w:rsidR="00766977">
        <w:rPr>
          <w:rFonts w:ascii="Times New Roman" w:hAnsi="Times New Roman" w:cs="Times New Roman"/>
          <w:position w:val="-17"/>
          <w:sz w:val="24"/>
          <w:szCs w:val="24"/>
        </w:rPr>
        <w:pict>
          <v:shape id="_x0000_i1026" type="#_x0000_t75" style="width:7.8pt;height:26.4pt" equationxml="&lt;">
            <v:imagedata r:id="rId10" o:title="" chromakey="white"/>
          </v:shape>
        </w:pict>
      </w:r>
      <w:r w:rsidRPr="00111B84">
        <w:rPr>
          <w:rFonts w:ascii="Times New Roman" w:hAnsi="Times New Roman" w:cs="Times New Roman"/>
          <w:sz w:val="24"/>
          <w:szCs w:val="24"/>
        </w:rPr>
        <w:instrText xml:space="preserve"> </w:instrText>
      </w:r>
      <w:r w:rsidR="00922D90" w:rsidRPr="00111B84">
        <w:rPr>
          <w:rFonts w:ascii="Times New Roman" w:hAnsi="Times New Roman" w:cs="Times New Roman"/>
          <w:sz w:val="24"/>
          <w:szCs w:val="24"/>
        </w:rPr>
        <w:fldChar w:fldCharType="separate"/>
      </w:r>
      <w:r w:rsidR="00766977">
        <w:rPr>
          <w:rFonts w:ascii="Times New Roman" w:hAnsi="Times New Roman" w:cs="Times New Roman"/>
          <w:position w:val="-17"/>
          <w:sz w:val="24"/>
          <w:szCs w:val="24"/>
        </w:rPr>
        <w:pict>
          <v:shape id="_x0000_i1027" type="#_x0000_t75" style="width:7.8pt;height:26.4pt" equationxml="&lt;">
            <v:imagedata r:id="rId10" o:title="" chromakey="white"/>
          </v:shape>
        </w:pict>
      </w:r>
      <w:r w:rsidR="00922D90" w:rsidRPr="00111B84">
        <w:rPr>
          <w:rFonts w:ascii="Times New Roman" w:hAnsi="Times New Roman" w:cs="Times New Roman"/>
          <w:sz w:val="24"/>
          <w:szCs w:val="24"/>
        </w:rPr>
        <w:fldChar w:fldCharType="end"/>
      </w:r>
    </w:p>
    <w:p w:rsidR="007A77CE" w:rsidRPr="00111B84" w:rsidRDefault="007A77CE" w:rsidP="00D25535">
      <w:pPr>
        <w:tabs>
          <w:tab w:val="left" w:pos="1275"/>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Where,</w:t>
      </w:r>
    </w:p>
    <w:p w:rsidR="007A77CE" w:rsidRPr="00111B84" w:rsidRDefault="00922D90" w:rsidP="00D25535">
      <w:pPr>
        <w:tabs>
          <w:tab w:val="left" w:pos="1275"/>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fldChar w:fldCharType="begin"/>
      </w:r>
      <w:r w:rsidR="007A77CE" w:rsidRPr="00111B84">
        <w:rPr>
          <w:rFonts w:ascii="Times New Roman" w:hAnsi="Times New Roman" w:cs="Times New Roman"/>
          <w:sz w:val="24"/>
          <w:szCs w:val="24"/>
        </w:rPr>
        <w:instrText xml:space="preserve"> QUOTE </w:instrText>
      </w:r>
      <w:r w:rsidR="00766977">
        <w:rPr>
          <w:rFonts w:ascii="Times New Roman" w:hAnsi="Times New Roman" w:cs="Times New Roman"/>
          <w:position w:val="-6"/>
          <w:sz w:val="24"/>
          <w:szCs w:val="24"/>
        </w:rPr>
        <w:pict>
          <v:shape id="_x0000_i1028" type="#_x0000_t75" style="width:9.6pt;height:14.4pt" equationxml="&lt;">
            <v:imagedata r:id="rId11" o:title="" chromakey="white"/>
          </v:shape>
        </w:pict>
      </w:r>
      <w:r w:rsidR="007A77CE" w:rsidRPr="00111B84">
        <w:rPr>
          <w:rFonts w:ascii="Times New Roman" w:hAnsi="Times New Roman" w:cs="Times New Roman"/>
          <w:sz w:val="24"/>
          <w:szCs w:val="24"/>
        </w:rPr>
        <w:instrText xml:space="preserve"> </w:instrText>
      </w:r>
      <w:r w:rsidRPr="00111B84">
        <w:rPr>
          <w:rFonts w:ascii="Times New Roman" w:hAnsi="Times New Roman" w:cs="Times New Roman"/>
          <w:sz w:val="24"/>
          <w:szCs w:val="24"/>
        </w:rPr>
        <w:fldChar w:fldCharType="separate"/>
      </w:r>
      <w:r w:rsidR="00766977">
        <w:rPr>
          <w:rFonts w:ascii="Times New Roman" w:hAnsi="Times New Roman" w:cs="Times New Roman"/>
          <w:position w:val="-6"/>
          <w:sz w:val="24"/>
          <w:szCs w:val="24"/>
        </w:rPr>
        <w:pict>
          <v:shape id="_x0000_i1029" type="#_x0000_t75" style="width:9.6pt;height:14.4pt" equationxml="&lt;">
            <v:imagedata r:id="rId11" o:title="" chromakey="white"/>
          </v:shape>
        </w:pict>
      </w:r>
      <w:r w:rsidRPr="00111B84">
        <w:rPr>
          <w:rFonts w:ascii="Times New Roman" w:hAnsi="Times New Roman" w:cs="Times New Roman"/>
          <w:sz w:val="24"/>
          <w:szCs w:val="24"/>
        </w:rPr>
        <w:fldChar w:fldCharType="end"/>
      </w:r>
      <w:r w:rsidR="007A77CE" w:rsidRPr="00111B84">
        <w:rPr>
          <w:rFonts w:ascii="Times New Roman" w:hAnsi="Times New Roman" w:cs="Times New Roman"/>
          <w:sz w:val="24"/>
          <w:szCs w:val="24"/>
        </w:rPr>
        <w:t xml:space="preserve">      =</w:t>
      </w:r>
      <w:r w:rsidR="007A77CE" w:rsidRPr="00111B84">
        <w:rPr>
          <w:rFonts w:ascii="Times New Roman" w:hAnsi="Times New Roman" w:cs="Times New Roman"/>
          <w:sz w:val="24"/>
          <w:szCs w:val="24"/>
        </w:rPr>
        <w:tab/>
        <w:t>Mean</w:t>
      </w:r>
    </w:p>
    <w:p w:rsidR="007A77CE" w:rsidRPr="00111B84" w:rsidRDefault="00922D90" w:rsidP="00D25535">
      <w:pPr>
        <w:tabs>
          <w:tab w:val="left" w:pos="1275"/>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fldChar w:fldCharType="begin"/>
      </w:r>
      <w:r w:rsidR="007A77CE" w:rsidRPr="00111B84">
        <w:rPr>
          <w:rFonts w:ascii="Times New Roman" w:hAnsi="Times New Roman" w:cs="Times New Roman"/>
          <w:sz w:val="24"/>
          <w:szCs w:val="24"/>
        </w:rPr>
        <w:instrText xml:space="preserve"> QUOTE </w:instrText>
      </w:r>
      <w:r w:rsidR="00766977">
        <w:rPr>
          <w:rFonts w:ascii="Times New Roman" w:hAnsi="Times New Roman" w:cs="Times New Roman"/>
          <w:position w:val="-6"/>
          <w:sz w:val="24"/>
          <w:szCs w:val="24"/>
        </w:rPr>
        <w:pict>
          <v:shape id="_x0000_i1030" type="#_x0000_t75" style="width:35.4pt;height:14.4pt" equationxml="&lt;">
            <v:imagedata r:id="rId12" o:title="" chromakey="white"/>
          </v:shape>
        </w:pict>
      </w:r>
      <w:r w:rsidR="007A77CE" w:rsidRPr="00111B84">
        <w:rPr>
          <w:rFonts w:ascii="Times New Roman" w:hAnsi="Times New Roman" w:cs="Times New Roman"/>
          <w:sz w:val="24"/>
          <w:szCs w:val="24"/>
        </w:rPr>
        <w:instrText xml:space="preserve"> </w:instrText>
      </w:r>
      <w:r w:rsidRPr="00111B84">
        <w:rPr>
          <w:rFonts w:ascii="Times New Roman" w:hAnsi="Times New Roman" w:cs="Times New Roman"/>
          <w:sz w:val="24"/>
          <w:szCs w:val="24"/>
        </w:rPr>
        <w:fldChar w:fldCharType="separate"/>
      </w:r>
      <w:r w:rsidR="00766977">
        <w:rPr>
          <w:rFonts w:ascii="Times New Roman" w:hAnsi="Times New Roman" w:cs="Times New Roman"/>
          <w:position w:val="-6"/>
          <w:sz w:val="24"/>
          <w:szCs w:val="24"/>
        </w:rPr>
        <w:pict>
          <v:shape id="_x0000_i1031" type="#_x0000_t75" style="width:35.4pt;height:14.4pt" equationxml="&lt;">
            <v:imagedata r:id="rId12" o:title="" chromakey="white"/>
          </v:shape>
        </w:pict>
      </w:r>
      <w:r w:rsidRPr="00111B84">
        <w:rPr>
          <w:rFonts w:ascii="Times New Roman" w:hAnsi="Times New Roman" w:cs="Times New Roman"/>
          <w:sz w:val="24"/>
          <w:szCs w:val="24"/>
        </w:rPr>
        <w:fldChar w:fldCharType="end"/>
      </w:r>
      <w:r w:rsidR="007A77CE" w:rsidRPr="00111B84">
        <w:rPr>
          <w:rFonts w:ascii="Times New Roman" w:hAnsi="Times New Roman" w:cs="Times New Roman"/>
          <w:sz w:val="24"/>
          <w:szCs w:val="24"/>
        </w:rPr>
        <w:tab/>
        <w:t>Standard Deviation</w:t>
      </w:r>
    </w:p>
    <w:p w:rsidR="007A77CE" w:rsidRPr="00111B84" w:rsidRDefault="007A77CE" w:rsidP="00D25535">
      <w:pPr>
        <w:tabs>
          <w:tab w:val="left" w:pos="1275"/>
        </w:tabs>
        <w:spacing w:after="0" w:line="360" w:lineRule="auto"/>
        <w:rPr>
          <w:rFonts w:ascii="Times New Roman" w:hAnsi="Times New Roman" w:cs="Times New Roman"/>
          <w:sz w:val="24"/>
          <w:szCs w:val="24"/>
        </w:rPr>
      </w:pPr>
      <w:proofErr w:type="gramStart"/>
      <w:r w:rsidRPr="00111B84">
        <w:rPr>
          <w:rFonts w:ascii="Times New Roman" w:hAnsi="Times New Roman" w:cs="Times New Roman"/>
          <w:sz w:val="24"/>
          <w:szCs w:val="24"/>
        </w:rPr>
        <w:t>C.V.</w:t>
      </w:r>
      <w:proofErr w:type="gramEnd"/>
      <w:r w:rsidRPr="00111B84">
        <w:rPr>
          <w:rFonts w:ascii="Times New Roman" w:hAnsi="Times New Roman" w:cs="Times New Roman"/>
          <w:sz w:val="24"/>
          <w:szCs w:val="24"/>
        </w:rPr>
        <w:t xml:space="preserve">  =</w:t>
      </w:r>
      <w:r w:rsidRPr="00111B84">
        <w:rPr>
          <w:rFonts w:ascii="Times New Roman" w:hAnsi="Times New Roman" w:cs="Times New Roman"/>
          <w:sz w:val="24"/>
          <w:szCs w:val="24"/>
        </w:rPr>
        <w:tab/>
        <w:t>Coefficient of Variation</w:t>
      </w:r>
    </w:p>
    <w:p w:rsidR="007A77CE" w:rsidRPr="00111B84" w:rsidRDefault="007A77CE" w:rsidP="00D25535">
      <w:pPr>
        <w:tabs>
          <w:tab w:val="left" w:pos="1275"/>
        </w:tabs>
        <w:spacing w:after="0" w:line="360" w:lineRule="auto"/>
        <w:rPr>
          <w:rFonts w:ascii="Times New Roman" w:hAnsi="Times New Roman" w:cs="Times New Roman"/>
          <w:sz w:val="24"/>
          <w:szCs w:val="24"/>
        </w:rPr>
      </w:pPr>
    </w:p>
    <w:p w:rsidR="007A77CE" w:rsidRPr="00111B84" w:rsidRDefault="007A77CE" w:rsidP="00D25535">
      <w:pPr>
        <w:tabs>
          <w:tab w:val="left" w:pos="1275"/>
        </w:tabs>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D) Coefficient of Correlation:</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Coefficient of correlation is the mathematical method of measuring the degree of association between the two variables i.e. one dependent and one independent. This analysis interprets and identifies the relationships between two or more variables. In the case of highly correlated variables, the effect of none variable may have effect on other correlated variable. Under this topic, this study tries to find out relationship between the following variables:</w:t>
      </w:r>
    </w:p>
    <w:p w:rsidR="007A77CE" w:rsidRPr="00111B84" w:rsidRDefault="007A77CE" w:rsidP="00D25535">
      <w:pPr>
        <w:pStyle w:val="ListParagraph"/>
        <w:numPr>
          <w:ilvl w:val="0"/>
          <w:numId w:val="23"/>
        </w:numPr>
        <w:tabs>
          <w:tab w:val="left" w:pos="720"/>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Coefficient of correlation between deposit and loan and advances.</w:t>
      </w:r>
    </w:p>
    <w:p w:rsidR="007A77CE" w:rsidRPr="00111B84" w:rsidRDefault="007A77CE" w:rsidP="00D25535">
      <w:pPr>
        <w:pStyle w:val="ListParagraph"/>
        <w:numPr>
          <w:ilvl w:val="0"/>
          <w:numId w:val="23"/>
        </w:numPr>
        <w:tabs>
          <w:tab w:val="left" w:pos="720"/>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lastRenderedPageBreak/>
        <w:t>Coefficient of correlation between total deposit and total investment.</w:t>
      </w:r>
    </w:p>
    <w:p w:rsidR="007A77CE" w:rsidRPr="00111B84" w:rsidRDefault="007A77CE" w:rsidP="00D25535">
      <w:pPr>
        <w:pStyle w:val="ListParagraph"/>
        <w:numPr>
          <w:ilvl w:val="0"/>
          <w:numId w:val="23"/>
        </w:numPr>
        <w:tabs>
          <w:tab w:val="left" w:pos="720"/>
        </w:tabs>
        <w:spacing w:after="0" w:line="360" w:lineRule="auto"/>
        <w:ind w:left="1260" w:hanging="1260"/>
        <w:jc w:val="both"/>
        <w:rPr>
          <w:rFonts w:ascii="Times New Roman" w:hAnsi="Times New Roman" w:cs="Times New Roman"/>
          <w:sz w:val="24"/>
          <w:szCs w:val="24"/>
        </w:rPr>
      </w:pPr>
      <w:r w:rsidRPr="00111B84">
        <w:rPr>
          <w:rFonts w:ascii="Times New Roman" w:hAnsi="Times New Roman" w:cs="Times New Roman"/>
          <w:sz w:val="24"/>
          <w:szCs w:val="24"/>
        </w:rPr>
        <w:t>Coefficient if correlation between total loan and advances assets and net profit.</w:t>
      </w:r>
    </w:p>
    <w:p w:rsidR="007A77CE" w:rsidRPr="00111B84" w:rsidRDefault="007A77CE" w:rsidP="00D25535">
      <w:pPr>
        <w:pStyle w:val="ListParagraph"/>
        <w:numPr>
          <w:ilvl w:val="0"/>
          <w:numId w:val="23"/>
        </w:numPr>
        <w:tabs>
          <w:tab w:val="left" w:pos="720"/>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Coefficient if correlation between total investment and net profit.</w:t>
      </w:r>
    </w:p>
    <w:p w:rsidR="007A77CE" w:rsidRPr="00111B84" w:rsidRDefault="007A77CE" w:rsidP="00D25535">
      <w:pPr>
        <w:pStyle w:val="ListParagraph"/>
        <w:tabs>
          <w:tab w:val="left" w:pos="720"/>
        </w:tabs>
        <w:spacing w:after="0" w:line="360" w:lineRule="auto"/>
        <w:jc w:val="both"/>
        <w:rPr>
          <w:rFonts w:ascii="Times New Roman" w:hAnsi="Times New Roman" w:cs="Times New Roman"/>
          <w:sz w:val="24"/>
          <w:szCs w:val="24"/>
        </w:rPr>
      </w:pP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above analysis tools analyze the relationship between these the relevant variable and helps the bank to make appropriate policies regarding deposit collection, fund utilization (loan and advances and investment) and profit maximization.</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To find out those relationships the following formula is used;</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Coefficient of correlation (r) = </w:t>
      </w:r>
      <w:r w:rsidR="00922D90" w:rsidRPr="00111B84">
        <w:rPr>
          <w:rFonts w:ascii="Times New Roman" w:hAnsi="Times New Roman" w:cs="Times New Roman"/>
          <w:sz w:val="24"/>
          <w:szCs w:val="24"/>
        </w:rPr>
        <w:fldChar w:fldCharType="begin"/>
      </w:r>
      <w:r w:rsidRPr="00111B84">
        <w:rPr>
          <w:rFonts w:ascii="Times New Roman" w:hAnsi="Times New Roman" w:cs="Times New Roman"/>
          <w:sz w:val="24"/>
          <w:szCs w:val="24"/>
        </w:rPr>
        <w:instrText xml:space="preserve"> QUOTE </w:instrText>
      </w:r>
      <w:r w:rsidR="00766977">
        <w:rPr>
          <w:rFonts w:ascii="Times New Roman" w:hAnsi="Times New Roman" w:cs="Times New Roman"/>
          <w:position w:val="-23"/>
          <w:sz w:val="24"/>
          <w:szCs w:val="24"/>
        </w:rPr>
        <w:pict>
          <v:shape id="_x0000_i1032" type="#_x0000_t75" style="width:36.6pt;height:30.6pt" equationxml="&lt;">
            <v:imagedata r:id="rId13" o:title="" chromakey="white"/>
          </v:shape>
        </w:pict>
      </w:r>
      <w:r w:rsidRPr="00111B84">
        <w:rPr>
          <w:rFonts w:ascii="Times New Roman" w:hAnsi="Times New Roman" w:cs="Times New Roman"/>
          <w:sz w:val="24"/>
          <w:szCs w:val="24"/>
        </w:rPr>
        <w:instrText xml:space="preserve"> </w:instrText>
      </w:r>
      <w:r w:rsidR="00922D90" w:rsidRPr="00111B84">
        <w:rPr>
          <w:rFonts w:ascii="Times New Roman" w:hAnsi="Times New Roman" w:cs="Times New Roman"/>
          <w:sz w:val="24"/>
          <w:szCs w:val="24"/>
        </w:rPr>
        <w:fldChar w:fldCharType="separate"/>
      </w:r>
      <w:r w:rsidR="00766977">
        <w:rPr>
          <w:rFonts w:ascii="Times New Roman" w:hAnsi="Times New Roman" w:cs="Times New Roman"/>
          <w:position w:val="-23"/>
          <w:sz w:val="24"/>
          <w:szCs w:val="24"/>
        </w:rPr>
        <w:pict>
          <v:shape id="_x0000_i1033" type="#_x0000_t75" style="width:36.6pt;height:30.6pt" equationxml="&lt;">
            <v:imagedata r:id="rId13" o:title="" chromakey="white"/>
          </v:shape>
        </w:pict>
      </w:r>
      <w:r w:rsidR="00922D90" w:rsidRPr="00111B84">
        <w:rPr>
          <w:rFonts w:ascii="Times New Roman" w:hAnsi="Times New Roman" w:cs="Times New Roman"/>
          <w:sz w:val="24"/>
          <w:szCs w:val="24"/>
        </w:rPr>
        <w:fldChar w:fldCharType="end"/>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Where, x = (X -</w:t>
      </w:r>
      <w:r w:rsidR="00922D90" w:rsidRPr="00111B84">
        <w:rPr>
          <w:rFonts w:ascii="Times New Roman" w:hAnsi="Times New Roman" w:cs="Times New Roman"/>
          <w:sz w:val="24"/>
          <w:szCs w:val="24"/>
        </w:rPr>
        <w:fldChar w:fldCharType="begin"/>
      </w:r>
      <w:r w:rsidRPr="00111B84">
        <w:rPr>
          <w:rFonts w:ascii="Times New Roman" w:hAnsi="Times New Roman" w:cs="Times New Roman"/>
          <w:sz w:val="24"/>
          <w:szCs w:val="24"/>
        </w:rPr>
        <w:instrText xml:space="preserve"> QUOTE </w:instrText>
      </w:r>
      <w:r w:rsidR="00766977">
        <w:rPr>
          <w:rFonts w:ascii="Times New Roman" w:hAnsi="Times New Roman" w:cs="Times New Roman"/>
          <w:position w:val="-6"/>
          <w:sz w:val="24"/>
          <w:szCs w:val="24"/>
        </w:rPr>
        <w:pict>
          <v:shape id="_x0000_i1034" type="#_x0000_t75" style="width:7.2pt;height:14.4pt" equationxml="&lt;">
            <v:imagedata r:id="rId14" o:title="" chromakey="white"/>
          </v:shape>
        </w:pict>
      </w:r>
      <w:r w:rsidRPr="00111B84">
        <w:rPr>
          <w:rFonts w:ascii="Times New Roman" w:hAnsi="Times New Roman" w:cs="Times New Roman"/>
          <w:sz w:val="24"/>
          <w:szCs w:val="24"/>
        </w:rPr>
        <w:instrText xml:space="preserve"> </w:instrText>
      </w:r>
      <w:r w:rsidR="00922D90" w:rsidRPr="00111B84">
        <w:rPr>
          <w:rFonts w:ascii="Times New Roman" w:hAnsi="Times New Roman" w:cs="Times New Roman"/>
          <w:sz w:val="24"/>
          <w:szCs w:val="24"/>
        </w:rPr>
        <w:fldChar w:fldCharType="separate"/>
      </w:r>
      <w:r w:rsidR="00766977">
        <w:rPr>
          <w:rFonts w:ascii="Times New Roman" w:hAnsi="Times New Roman" w:cs="Times New Roman"/>
          <w:position w:val="-6"/>
          <w:sz w:val="24"/>
          <w:szCs w:val="24"/>
        </w:rPr>
        <w:pict>
          <v:shape id="_x0000_i1035" type="#_x0000_t75" style="width:7.8pt;height:14.4pt" equationxml="&lt;">
            <v:imagedata r:id="rId14" o:title="" chromakey="white"/>
          </v:shape>
        </w:pict>
      </w:r>
      <w:r w:rsidR="00922D90" w:rsidRPr="00111B84">
        <w:rPr>
          <w:rFonts w:ascii="Times New Roman" w:hAnsi="Times New Roman" w:cs="Times New Roman"/>
          <w:sz w:val="24"/>
          <w:szCs w:val="24"/>
        </w:rPr>
        <w:fldChar w:fldCharType="end"/>
      </w:r>
      <w:r w:rsidRPr="00111B84">
        <w:rPr>
          <w:rFonts w:ascii="Times New Roman" w:hAnsi="Times New Roman" w:cs="Times New Roman"/>
          <w:sz w:val="24"/>
          <w:szCs w:val="24"/>
        </w:rPr>
        <w:t>), y = (Y -</w:t>
      </w:r>
      <w:r w:rsidR="00922D90" w:rsidRPr="00111B84">
        <w:rPr>
          <w:rFonts w:ascii="Times New Roman" w:hAnsi="Times New Roman" w:cs="Times New Roman"/>
          <w:sz w:val="24"/>
          <w:szCs w:val="24"/>
        </w:rPr>
        <w:fldChar w:fldCharType="begin"/>
      </w:r>
      <w:r w:rsidRPr="00111B84">
        <w:rPr>
          <w:rFonts w:ascii="Times New Roman" w:hAnsi="Times New Roman" w:cs="Times New Roman"/>
          <w:sz w:val="24"/>
          <w:szCs w:val="24"/>
        </w:rPr>
        <w:instrText xml:space="preserve"> QUOTE </w:instrText>
      </w:r>
      <w:r w:rsidR="00766977">
        <w:rPr>
          <w:rFonts w:ascii="Times New Roman" w:hAnsi="Times New Roman" w:cs="Times New Roman"/>
          <w:position w:val="-6"/>
          <w:sz w:val="24"/>
          <w:szCs w:val="24"/>
        </w:rPr>
        <w:pict>
          <v:shape id="_x0000_i1036" type="#_x0000_t75" style="width:7.2pt;height:14.4pt" equationxml="&lt;">
            <v:imagedata r:id="rId15" o:title="" chromakey="white"/>
          </v:shape>
        </w:pict>
      </w:r>
      <w:r w:rsidRPr="00111B84">
        <w:rPr>
          <w:rFonts w:ascii="Times New Roman" w:hAnsi="Times New Roman" w:cs="Times New Roman"/>
          <w:sz w:val="24"/>
          <w:szCs w:val="24"/>
        </w:rPr>
        <w:instrText xml:space="preserve"> </w:instrText>
      </w:r>
      <w:r w:rsidR="00922D90" w:rsidRPr="00111B84">
        <w:rPr>
          <w:rFonts w:ascii="Times New Roman" w:hAnsi="Times New Roman" w:cs="Times New Roman"/>
          <w:sz w:val="24"/>
          <w:szCs w:val="24"/>
        </w:rPr>
        <w:fldChar w:fldCharType="separate"/>
      </w:r>
      <w:r w:rsidR="00766977">
        <w:rPr>
          <w:rFonts w:ascii="Times New Roman" w:hAnsi="Times New Roman" w:cs="Times New Roman"/>
          <w:position w:val="-6"/>
          <w:sz w:val="24"/>
          <w:szCs w:val="24"/>
        </w:rPr>
        <w:pict>
          <v:shape id="_x0000_i1037" type="#_x0000_t75" style="width:7.8pt;height:14.4pt" equationxml="&lt;">
            <v:imagedata r:id="rId15" o:title="" chromakey="white"/>
          </v:shape>
        </w:pict>
      </w:r>
      <w:r w:rsidR="00922D90" w:rsidRPr="00111B84">
        <w:rPr>
          <w:rFonts w:ascii="Times New Roman" w:hAnsi="Times New Roman" w:cs="Times New Roman"/>
          <w:sz w:val="24"/>
          <w:szCs w:val="24"/>
        </w:rPr>
        <w:fldChar w:fldCharType="end"/>
      </w:r>
      <w:r w:rsidRPr="00111B84">
        <w:rPr>
          <w:rFonts w:ascii="Times New Roman" w:hAnsi="Times New Roman" w:cs="Times New Roman"/>
          <w:sz w:val="24"/>
          <w:szCs w:val="24"/>
        </w:rPr>
        <w:t>)</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result of coefficient is always between -1 to +1, when r=+1, it means there is significant relationship between two variables and when r=-1, it means there is no significant relationship between two variables.</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p>
    <w:p w:rsidR="007A77CE" w:rsidRPr="00111B84" w:rsidRDefault="007A77CE" w:rsidP="00D25535">
      <w:pPr>
        <w:tabs>
          <w:tab w:val="left" w:pos="1275"/>
        </w:tabs>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E) Trend Analysis:</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Under this topic we analyze and interpret the trend of deposits, loan and advances, investment and net profit of SCBNL that helps to make forecasting for next five years. The following trend value analyses have been used in this study.</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p>
    <w:p w:rsidR="007A77CE" w:rsidRPr="00111B84" w:rsidRDefault="007A77CE" w:rsidP="00D25535">
      <w:pPr>
        <w:pStyle w:val="ListParagraph"/>
        <w:numPr>
          <w:ilvl w:val="0"/>
          <w:numId w:val="24"/>
        </w:numPr>
        <w:tabs>
          <w:tab w:val="left" w:pos="1275"/>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Trend analysis of total deposit</w:t>
      </w:r>
    </w:p>
    <w:p w:rsidR="007A77CE" w:rsidRPr="00111B84" w:rsidRDefault="007A77CE" w:rsidP="00D25535">
      <w:pPr>
        <w:pStyle w:val="ListParagraph"/>
        <w:numPr>
          <w:ilvl w:val="0"/>
          <w:numId w:val="24"/>
        </w:numPr>
        <w:tabs>
          <w:tab w:val="left" w:pos="1275"/>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Trend analysis of loan and deposit</w:t>
      </w:r>
    </w:p>
    <w:p w:rsidR="007A77CE" w:rsidRPr="00111B84" w:rsidRDefault="007A77CE" w:rsidP="00D25535">
      <w:pPr>
        <w:pStyle w:val="ListParagraph"/>
        <w:numPr>
          <w:ilvl w:val="0"/>
          <w:numId w:val="24"/>
        </w:numPr>
        <w:tabs>
          <w:tab w:val="left" w:pos="1275"/>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 xml:space="preserve">Trend analysis of total investment </w:t>
      </w:r>
    </w:p>
    <w:p w:rsidR="007A77CE" w:rsidRPr="00111B84" w:rsidRDefault="007A77CE" w:rsidP="00D25535">
      <w:pPr>
        <w:pStyle w:val="ListParagraph"/>
        <w:numPr>
          <w:ilvl w:val="0"/>
          <w:numId w:val="24"/>
        </w:numPr>
        <w:tabs>
          <w:tab w:val="left" w:pos="1275"/>
        </w:tabs>
        <w:spacing w:after="0" w:line="360" w:lineRule="auto"/>
        <w:ind w:left="0" w:firstLine="0"/>
        <w:jc w:val="both"/>
        <w:rPr>
          <w:rFonts w:ascii="Times New Roman" w:hAnsi="Times New Roman" w:cs="Times New Roman"/>
          <w:sz w:val="24"/>
          <w:szCs w:val="24"/>
        </w:rPr>
      </w:pPr>
      <w:r w:rsidRPr="00111B84">
        <w:rPr>
          <w:rFonts w:ascii="Times New Roman" w:hAnsi="Times New Roman" w:cs="Times New Roman"/>
          <w:sz w:val="24"/>
          <w:szCs w:val="24"/>
        </w:rPr>
        <w:t>Trend analysis of net profit</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trends of a related variables can be calculated as, Y= a + bx</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Where, </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Y</w:t>
      </w:r>
      <w:r w:rsidRPr="00111B84">
        <w:rPr>
          <w:rFonts w:ascii="Times New Roman" w:hAnsi="Times New Roman" w:cs="Times New Roman"/>
          <w:sz w:val="24"/>
          <w:szCs w:val="24"/>
        </w:rPr>
        <w:tab/>
        <w:t>= Dependent variable</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proofErr w:type="gramStart"/>
      <w:r w:rsidRPr="00111B84">
        <w:rPr>
          <w:rFonts w:ascii="Times New Roman" w:hAnsi="Times New Roman" w:cs="Times New Roman"/>
          <w:sz w:val="24"/>
          <w:szCs w:val="24"/>
        </w:rPr>
        <w:t>a</w:t>
      </w:r>
      <w:proofErr w:type="gramEnd"/>
      <w:r w:rsidRPr="00111B84">
        <w:rPr>
          <w:rFonts w:ascii="Times New Roman" w:hAnsi="Times New Roman" w:cs="Times New Roman"/>
          <w:sz w:val="24"/>
          <w:szCs w:val="24"/>
        </w:rPr>
        <w:t xml:space="preserve"> and b</w:t>
      </w:r>
      <w:r w:rsidRPr="00111B84">
        <w:rPr>
          <w:rFonts w:ascii="Times New Roman" w:hAnsi="Times New Roman" w:cs="Times New Roman"/>
          <w:sz w:val="24"/>
          <w:szCs w:val="24"/>
        </w:rPr>
        <w:tab/>
        <w:t>= Parameter</w:t>
      </w:r>
    </w:p>
    <w:p w:rsidR="007A77CE" w:rsidRPr="00111B84" w:rsidRDefault="007A77CE" w:rsidP="00D25535">
      <w:pPr>
        <w:tabs>
          <w:tab w:val="left" w:pos="1275"/>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x</w:t>
      </w:r>
      <w:r w:rsidRPr="00111B84">
        <w:rPr>
          <w:rFonts w:ascii="Times New Roman" w:hAnsi="Times New Roman" w:cs="Times New Roman"/>
          <w:sz w:val="24"/>
          <w:szCs w:val="24"/>
        </w:rPr>
        <w:tab/>
        <w:t>= Independent variable</w:t>
      </w:r>
    </w:p>
    <w:p w:rsidR="00B5238C" w:rsidRDefault="00B5238C">
      <w:pPr>
        <w:rPr>
          <w:rFonts w:ascii="Times New Roman" w:hAnsi="Times New Roman" w:cs="Times New Roman"/>
          <w:b/>
          <w:bCs/>
          <w:sz w:val="32"/>
          <w:szCs w:val="24"/>
        </w:rPr>
      </w:pPr>
      <w:r>
        <w:rPr>
          <w:rFonts w:ascii="Times New Roman" w:hAnsi="Times New Roman" w:cs="Times New Roman"/>
          <w:b/>
          <w:bCs/>
          <w:sz w:val="32"/>
          <w:szCs w:val="24"/>
        </w:rPr>
        <w:br w:type="page"/>
      </w:r>
    </w:p>
    <w:p w:rsidR="005130C0" w:rsidRPr="00941964" w:rsidRDefault="005130C0" w:rsidP="00D25535">
      <w:pPr>
        <w:spacing w:after="0" w:line="360" w:lineRule="auto"/>
        <w:jc w:val="center"/>
        <w:outlineLvl w:val="0"/>
        <w:rPr>
          <w:rFonts w:ascii="Times New Roman" w:hAnsi="Times New Roman" w:cs="Times New Roman"/>
          <w:b/>
          <w:bCs/>
          <w:sz w:val="32"/>
          <w:szCs w:val="24"/>
        </w:rPr>
      </w:pPr>
      <w:r w:rsidRPr="00941964">
        <w:rPr>
          <w:rFonts w:ascii="Times New Roman" w:hAnsi="Times New Roman" w:cs="Times New Roman"/>
          <w:b/>
          <w:bCs/>
          <w:sz w:val="32"/>
          <w:szCs w:val="24"/>
        </w:rPr>
        <w:lastRenderedPageBreak/>
        <w:t>CHAPTER IV</w:t>
      </w:r>
    </w:p>
    <w:p w:rsidR="0066042A" w:rsidRDefault="0066042A" w:rsidP="00D25535">
      <w:pPr>
        <w:spacing w:after="0" w:line="360" w:lineRule="auto"/>
        <w:jc w:val="center"/>
        <w:outlineLvl w:val="0"/>
        <w:rPr>
          <w:rFonts w:ascii="Times New Roman" w:hAnsi="Times New Roman" w:cs="Times New Roman"/>
          <w:b/>
          <w:bCs/>
          <w:sz w:val="28"/>
          <w:szCs w:val="24"/>
        </w:rPr>
      </w:pPr>
      <w:r w:rsidRPr="00941964">
        <w:rPr>
          <w:rFonts w:ascii="Times New Roman" w:hAnsi="Times New Roman" w:cs="Times New Roman"/>
          <w:b/>
          <w:bCs/>
          <w:sz w:val="28"/>
          <w:szCs w:val="24"/>
        </w:rPr>
        <w:t>DATA PRESENTATION AND ANALYSIS:</w:t>
      </w:r>
    </w:p>
    <w:p w:rsidR="00941964" w:rsidRPr="00941964" w:rsidRDefault="00941964" w:rsidP="00D25535">
      <w:pPr>
        <w:spacing w:after="0" w:line="360" w:lineRule="auto"/>
        <w:jc w:val="center"/>
        <w:outlineLvl w:val="0"/>
        <w:rPr>
          <w:rFonts w:ascii="Times New Roman" w:hAnsi="Times New Roman" w:cs="Times New Roman"/>
          <w:b/>
          <w:bCs/>
          <w:sz w:val="28"/>
          <w:szCs w:val="24"/>
        </w:rPr>
      </w:pPr>
    </w:p>
    <w:p w:rsidR="005130C0" w:rsidRDefault="005130C0" w:rsidP="00D25535">
      <w:pPr>
        <w:tabs>
          <w:tab w:val="left" w:pos="0"/>
        </w:tabs>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INTRODUCTION</w:t>
      </w:r>
    </w:p>
    <w:p w:rsidR="00E143DF" w:rsidRPr="00111B84" w:rsidRDefault="00E143DF" w:rsidP="00D25535">
      <w:pPr>
        <w:tabs>
          <w:tab w:val="left" w:pos="0"/>
        </w:tabs>
        <w:spacing w:after="0" w:line="360" w:lineRule="auto"/>
        <w:jc w:val="both"/>
        <w:rPr>
          <w:rFonts w:ascii="Times New Roman" w:hAnsi="Times New Roman" w:cs="Times New Roman"/>
          <w:b/>
          <w:bCs/>
          <w:sz w:val="24"/>
          <w:szCs w:val="24"/>
        </w:rPr>
      </w:pPr>
    </w:p>
    <w:p w:rsidR="00DE74A6" w:rsidRDefault="005130C0" w:rsidP="00D25535">
      <w:pPr>
        <w:tabs>
          <w:tab w:val="left" w:pos="0"/>
        </w:tabs>
        <w:spacing w:after="0" w:line="360" w:lineRule="auto"/>
        <w:jc w:val="both"/>
        <w:rPr>
          <w:rFonts w:ascii="Times New Roman" w:hAnsi="Times New Roman" w:cs="Times New Roman"/>
          <w:bCs/>
          <w:sz w:val="24"/>
          <w:szCs w:val="24"/>
        </w:rPr>
      </w:pPr>
      <w:r w:rsidRPr="00111B84">
        <w:rPr>
          <w:rFonts w:ascii="Times New Roman" w:hAnsi="Times New Roman" w:cs="Times New Roman"/>
          <w:bCs/>
          <w:sz w:val="24"/>
          <w:szCs w:val="24"/>
        </w:rPr>
        <w:t xml:space="preserve">This chapter is the main body of the study which comprises of presentation, analysis and interpretation of collected data. Under this heading, various financial ratios have been calculated to evaluate the financial condition and performance of the </w:t>
      </w:r>
      <w:r w:rsidR="0066042A" w:rsidRPr="00111B84">
        <w:rPr>
          <w:rFonts w:ascii="Times New Roman" w:hAnsi="Times New Roman" w:cs="Times New Roman"/>
          <w:bCs/>
          <w:sz w:val="24"/>
          <w:szCs w:val="24"/>
        </w:rPr>
        <w:t xml:space="preserve">Standard Chartered </w:t>
      </w:r>
      <w:r w:rsidRPr="00111B84">
        <w:rPr>
          <w:rFonts w:ascii="Times New Roman" w:hAnsi="Times New Roman" w:cs="Times New Roman"/>
          <w:bCs/>
          <w:sz w:val="24"/>
          <w:szCs w:val="24"/>
        </w:rPr>
        <w:t xml:space="preserve">Bank </w:t>
      </w:r>
      <w:r w:rsidR="0066042A" w:rsidRPr="00111B84">
        <w:rPr>
          <w:rFonts w:ascii="Times New Roman" w:hAnsi="Times New Roman" w:cs="Times New Roman"/>
          <w:bCs/>
          <w:sz w:val="24"/>
          <w:szCs w:val="24"/>
        </w:rPr>
        <w:t xml:space="preserve">Nepal </w:t>
      </w:r>
      <w:r w:rsidRPr="00111B84">
        <w:rPr>
          <w:rFonts w:ascii="Times New Roman" w:hAnsi="Times New Roman" w:cs="Times New Roman"/>
          <w:bCs/>
          <w:sz w:val="24"/>
          <w:szCs w:val="24"/>
        </w:rPr>
        <w:t xml:space="preserve">Limited. </w:t>
      </w:r>
    </w:p>
    <w:p w:rsidR="00DE74A6" w:rsidRDefault="00DE74A6" w:rsidP="00D25535">
      <w:pPr>
        <w:tabs>
          <w:tab w:val="left" w:pos="0"/>
        </w:tabs>
        <w:spacing w:after="0" w:line="360" w:lineRule="auto"/>
        <w:jc w:val="both"/>
        <w:rPr>
          <w:rFonts w:ascii="Times New Roman" w:hAnsi="Times New Roman" w:cs="Times New Roman"/>
          <w:bCs/>
          <w:sz w:val="24"/>
          <w:szCs w:val="24"/>
        </w:rPr>
      </w:pPr>
    </w:p>
    <w:p w:rsidR="00DE74A6" w:rsidRPr="00111B84" w:rsidRDefault="00DE74A6" w:rsidP="00DE74A6">
      <w:pPr>
        <w:tabs>
          <w:tab w:val="left" w:pos="360"/>
          <w:tab w:val="left" w:pos="45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As it is concerned to the commercial banks they must mobilize their collections and other funds towards the profitable, secured and marketable sectors so that they will be in profit. For this purpose these banks should gather the sufficient information about the firm to which supposed to be invested. This information include as financial background, nature of business as well as its ability to repay the loan back. These all information should be gathered from the viewpoint of security.</w:t>
      </w:r>
    </w:p>
    <w:p w:rsidR="00DE74A6" w:rsidRDefault="00DE74A6" w:rsidP="00D25535">
      <w:pPr>
        <w:tabs>
          <w:tab w:val="left" w:pos="0"/>
        </w:tabs>
        <w:spacing w:after="0" w:line="360" w:lineRule="auto"/>
        <w:jc w:val="both"/>
        <w:rPr>
          <w:rFonts w:ascii="Times New Roman" w:hAnsi="Times New Roman" w:cs="Times New Roman"/>
          <w:bCs/>
          <w:sz w:val="24"/>
          <w:szCs w:val="24"/>
        </w:rPr>
      </w:pPr>
    </w:p>
    <w:p w:rsidR="0066042A" w:rsidRPr="00111B84" w:rsidRDefault="00DE74A6" w:rsidP="00D25535">
      <w:pPr>
        <w:tabs>
          <w:tab w:val="left" w:pos="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All the patterns have</w:t>
      </w:r>
      <w:r w:rsidR="005130C0" w:rsidRPr="00111B84">
        <w:rPr>
          <w:rFonts w:ascii="Times New Roman" w:hAnsi="Times New Roman" w:cs="Times New Roman"/>
          <w:bCs/>
          <w:sz w:val="24"/>
          <w:szCs w:val="24"/>
        </w:rPr>
        <w:t xml:space="preserve"> not been calculated as the study only focus on the investment section of the </w:t>
      </w:r>
      <w:r w:rsidR="0066042A" w:rsidRPr="00111B84">
        <w:rPr>
          <w:rFonts w:ascii="Times New Roman" w:hAnsi="Times New Roman" w:cs="Times New Roman"/>
          <w:bCs/>
          <w:sz w:val="24"/>
          <w:szCs w:val="24"/>
        </w:rPr>
        <w:t xml:space="preserve">Standard </w:t>
      </w:r>
      <w:r w:rsidRPr="00111B84">
        <w:rPr>
          <w:rFonts w:ascii="Times New Roman" w:hAnsi="Times New Roman" w:cs="Times New Roman"/>
          <w:bCs/>
          <w:sz w:val="24"/>
          <w:szCs w:val="24"/>
        </w:rPr>
        <w:t>Chartered bank</w:t>
      </w:r>
      <w:r w:rsidR="005130C0" w:rsidRPr="00111B84">
        <w:rPr>
          <w:rFonts w:ascii="Times New Roman" w:hAnsi="Times New Roman" w:cs="Times New Roman"/>
          <w:bCs/>
          <w:sz w:val="24"/>
          <w:szCs w:val="24"/>
        </w:rPr>
        <w:t xml:space="preserve"> limited</w:t>
      </w:r>
      <w:r w:rsidR="0066042A" w:rsidRPr="00111B84">
        <w:rPr>
          <w:rFonts w:ascii="Times New Roman" w:hAnsi="Times New Roman" w:cs="Times New Roman"/>
          <w:bCs/>
          <w:sz w:val="24"/>
          <w:szCs w:val="24"/>
        </w:rPr>
        <w:t>,</w:t>
      </w:r>
      <w:r>
        <w:rPr>
          <w:rFonts w:ascii="Times New Roman" w:hAnsi="Times New Roman" w:cs="Times New Roman"/>
          <w:bCs/>
          <w:sz w:val="24"/>
          <w:szCs w:val="24"/>
        </w:rPr>
        <w:t xml:space="preserve"> so only those patterns</w:t>
      </w:r>
      <w:r w:rsidR="005130C0" w:rsidRPr="00111B84">
        <w:rPr>
          <w:rFonts w:ascii="Times New Roman" w:hAnsi="Times New Roman" w:cs="Times New Roman"/>
          <w:bCs/>
          <w:sz w:val="24"/>
          <w:szCs w:val="24"/>
        </w:rPr>
        <w:t xml:space="preserve"> which are relevant and related to the study are being calculated.</w:t>
      </w:r>
    </w:p>
    <w:p w:rsidR="00871E89" w:rsidRDefault="00871E89" w:rsidP="00D25535">
      <w:pPr>
        <w:spacing w:after="0" w:line="360" w:lineRule="auto"/>
        <w:jc w:val="center"/>
        <w:rPr>
          <w:rFonts w:ascii="Times New Roman" w:eastAsia="Times New Roman" w:hAnsi="Times New Roman" w:cs="Times New Roman"/>
          <w:b/>
          <w:bCs/>
          <w:color w:val="000000"/>
          <w:sz w:val="24"/>
          <w:szCs w:val="24"/>
        </w:rPr>
      </w:pPr>
    </w:p>
    <w:p w:rsidR="00E143DF" w:rsidRDefault="00E143DF">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No.4.1</w:t>
      </w:r>
    </w:p>
    <w:p w:rsidR="00817842"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Share Capital Pattern of Standard Chartered Bank Nepal Ltd. (Rs in millions)</w:t>
      </w:r>
    </w:p>
    <w:p w:rsidR="003507F1" w:rsidRDefault="003507F1" w:rsidP="003507F1">
      <w:pPr>
        <w:spacing w:after="0" w:line="360" w:lineRule="auto"/>
        <w:jc w:val="center"/>
      </w:pPr>
    </w:p>
    <w:tbl>
      <w:tblPr>
        <w:tblpPr w:leftFromText="180" w:rightFromText="180" w:vertAnchor="text" w:horzAnchor="margin" w:tblpY="14"/>
        <w:tblW w:w="8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9"/>
        <w:gridCol w:w="1800"/>
        <w:gridCol w:w="1800"/>
        <w:gridCol w:w="3417"/>
      </w:tblGrid>
      <w:tr w:rsidR="00871E89" w:rsidRPr="00111B84" w:rsidTr="00871E89">
        <w:trPr>
          <w:trHeight w:val="530"/>
        </w:trPr>
        <w:tc>
          <w:tcPr>
            <w:tcW w:w="1419" w:type="dxa"/>
            <w:shd w:val="clear" w:color="auto" w:fill="auto"/>
            <w:noWrap/>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1800" w:type="dxa"/>
            <w:shd w:val="clear" w:color="auto" w:fill="auto"/>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Share capital (X)</w:t>
            </w:r>
          </w:p>
        </w:tc>
        <w:tc>
          <w:tcPr>
            <w:tcW w:w="1800" w:type="dxa"/>
            <w:shd w:val="clear" w:color="auto" w:fill="auto"/>
            <w:noWrap/>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3417" w:type="dxa"/>
            <w:shd w:val="clear" w:color="auto" w:fill="auto"/>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r>
      <w:tr w:rsidR="00871E89" w:rsidRPr="00111B84" w:rsidTr="00871E89">
        <w:trPr>
          <w:trHeight w:val="306"/>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620.78</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_</w:t>
            </w: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_</w:t>
            </w:r>
          </w:p>
        </w:tc>
      </w:tr>
      <w:tr w:rsidR="00871E89" w:rsidRPr="00111B84" w:rsidTr="00871E89">
        <w:trPr>
          <w:trHeight w:val="306"/>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931.97</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150.13</w:t>
            </w: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50.13</w:t>
            </w:r>
          </w:p>
        </w:tc>
      </w:tr>
      <w:tr w:rsidR="00871E89" w:rsidRPr="00111B84" w:rsidTr="00871E89">
        <w:trPr>
          <w:trHeight w:val="306"/>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1608.26</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259.07</w:t>
            </w: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72.57</w:t>
            </w:r>
          </w:p>
        </w:tc>
      </w:tr>
      <w:tr w:rsidR="00871E89" w:rsidRPr="00111B84" w:rsidTr="00871E89">
        <w:trPr>
          <w:trHeight w:val="306"/>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1610.17</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259.38</w:t>
            </w: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0.12</w:t>
            </w:r>
          </w:p>
        </w:tc>
      </w:tr>
      <w:tr w:rsidR="00871E89" w:rsidRPr="00111B84" w:rsidTr="00871E89">
        <w:trPr>
          <w:trHeight w:val="306"/>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1851.69</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298.28</w:t>
            </w: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w:t>
            </w:r>
          </w:p>
        </w:tc>
      </w:tr>
      <w:tr w:rsidR="00871E89" w:rsidRPr="00111B84" w:rsidTr="00871E89">
        <w:trPr>
          <w:trHeight w:val="321"/>
        </w:trPr>
        <w:tc>
          <w:tcPr>
            <w:tcW w:w="1419"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6622.87</w:t>
            </w:r>
          </w:p>
        </w:tc>
        <w:tc>
          <w:tcPr>
            <w:tcW w:w="1800"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p>
        </w:tc>
        <w:tc>
          <w:tcPr>
            <w:tcW w:w="3417" w:type="dxa"/>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137.81</w:t>
            </w:r>
          </w:p>
        </w:tc>
      </w:tr>
      <w:tr w:rsidR="00871E89" w:rsidRPr="00111B84" w:rsidTr="00871E89">
        <w:trPr>
          <w:gridAfter w:val="2"/>
          <w:wAfter w:w="5217" w:type="dxa"/>
          <w:trHeight w:val="306"/>
        </w:trPr>
        <w:tc>
          <w:tcPr>
            <w:tcW w:w="1419" w:type="dxa"/>
            <w:tcBorders>
              <w:top w:val="nil"/>
              <w:left w:val="nil"/>
              <w:bottom w:val="nil"/>
              <w:right w:val="nil"/>
            </w:tcBorders>
            <w:shd w:val="clear" w:color="auto" w:fill="auto"/>
            <w:noWrap/>
            <w:vAlign w:val="bottom"/>
            <w:hideMark/>
          </w:tcPr>
          <w:p w:rsidR="00871E89" w:rsidRDefault="00871E89" w:rsidP="003507F1">
            <w:pPr>
              <w:spacing w:after="0" w:line="360" w:lineRule="auto"/>
              <w:jc w:val="both"/>
              <w:rPr>
                <w:rFonts w:ascii="Times New Roman" w:eastAsia="Times New Roman" w:hAnsi="Times New Roman" w:cs="Times New Roman"/>
                <w:color w:val="000000"/>
                <w:sz w:val="24"/>
                <w:szCs w:val="24"/>
              </w:rPr>
            </w:pPr>
          </w:p>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180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1324.57</w:t>
            </w:r>
          </w:p>
        </w:tc>
      </w:tr>
      <w:tr w:rsidR="00871E89" w:rsidRPr="00111B84" w:rsidTr="00871E89">
        <w:trPr>
          <w:gridAfter w:val="2"/>
          <w:wAfter w:w="5217" w:type="dxa"/>
          <w:trHeight w:val="306"/>
        </w:trPr>
        <w:tc>
          <w:tcPr>
            <w:tcW w:w="1419"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180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521.86</w:t>
            </w:r>
          </w:p>
        </w:tc>
      </w:tr>
      <w:tr w:rsidR="00871E89" w:rsidRPr="00111B84" w:rsidTr="00871E89">
        <w:trPr>
          <w:gridAfter w:val="2"/>
          <w:wAfter w:w="5217" w:type="dxa"/>
          <w:trHeight w:val="306"/>
        </w:trPr>
        <w:tc>
          <w:tcPr>
            <w:tcW w:w="1419"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180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39.40</w:t>
            </w:r>
          </w:p>
        </w:tc>
      </w:tr>
      <w:tr w:rsidR="00871E89" w:rsidRPr="00111B84" w:rsidTr="00871E89">
        <w:trPr>
          <w:gridAfter w:val="2"/>
          <w:wAfter w:w="5217" w:type="dxa"/>
          <w:trHeight w:val="306"/>
        </w:trPr>
        <w:tc>
          <w:tcPr>
            <w:tcW w:w="1419"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180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both"/>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27.56</w:t>
            </w:r>
          </w:p>
        </w:tc>
      </w:tr>
    </w:tbl>
    <w:p w:rsidR="002243BE" w:rsidRDefault="002243BE"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4.1 shows that Share Capital Pattern of SCBNL for the period between 2064/65-2068/69. From the figures presented in the table, it has been observed that the Share Capital of SCBNL has increasing trend with the highest index of 298.28% which is three fold greater than as compared to the figure in 2064/65 (base year).</w:t>
      </w:r>
    </w:p>
    <w:p w:rsidR="002243BE" w:rsidRPr="00111B84" w:rsidRDefault="002243BE" w:rsidP="00D25535">
      <w:pPr>
        <w:tabs>
          <w:tab w:val="left" w:pos="3208"/>
        </w:tabs>
        <w:spacing w:after="0" w:line="360" w:lineRule="auto"/>
        <w:jc w:val="both"/>
        <w:rPr>
          <w:rFonts w:ascii="Times New Roman" w:hAnsi="Times New Roman" w:cs="Times New Roman"/>
          <w:sz w:val="24"/>
          <w:szCs w:val="24"/>
        </w:rPr>
      </w:pPr>
    </w:p>
    <w:p w:rsidR="00EE20F0"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share capital was Rs 13324.57 with Coefficient of Variation of 39.40 percent. Share Capital grew at an average annual rate of 27.56 percent. The highest increment (72.57 percent) of Share Capital took place in the year 2066/67 and the lowest increment was found in the year 2067/68. Share Capital of this bank has been found to grow at an average annual rate of 27.56 percent.</w:t>
      </w:r>
      <w:r w:rsidR="00EE20F0" w:rsidRPr="00EE20F0">
        <w:rPr>
          <w:rFonts w:ascii="Times New Roman" w:eastAsia="Times New Roman" w:hAnsi="Times New Roman" w:cs="Times New Roman"/>
          <w:b/>
          <w:bCs/>
          <w:color w:val="000000"/>
          <w:sz w:val="24"/>
          <w:szCs w:val="24"/>
        </w:rPr>
        <w:t xml:space="preserve"> </w:t>
      </w:r>
    </w:p>
    <w:p w:rsidR="00D37725" w:rsidRDefault="00D37725" w:rsidP="00D25535">
      <w:pPr>
        <w:spacing w:after="0" w:line="360" w:lineRule="auto"/>
        <w:jc w:val="center"/>
        <w:rPr>
          <w:rFonts w:ascii="Times New Roman" w:eastAsia="Times New Roman" w:hAnsi="Times New Roman" w:cs="Times New Roman"/>
          <w:b/>
          <w:bCs/>
          <w:color w:val="000000"/>
          <w:sz w:val="24"/>
          <w:szCs w:val="24"/>
        </w:rPr>
      </w:pPr>
    </w:p>
    <w:p w:rsidR="00DE74A6" w:rsidRDefault="00DE74A6"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EE20F0" w:rsidRDefault="00EE20F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No.4.2</w:t>
      </w:r>
      <w:r w:rsidRPr="00EE20F0">
        <w:rPr>
          <w:rFonts w:ascii="Times New Roman" w:eastAsia="Times New Roman" w:hAnsi="Times New Roman" w:cs="Times New Roman"/>
          <w:b/>
          <w:bCs/>
          <w:color w:val="000000"/>
          <w:sz w:val="24"/>
          <w:szCs w:val="24"/>
        </w:rPr>
        <w:t xml:space="preserve"> </w:t>
      </w:r>
    </w:p>
    <w:p w:rsidR="00EE20F0" w:rsidRDefault="00EE20F0" w:rsidP="003507F1">
      <w:pPr>
        <w:spacing w:after="0" w:line="360" w:lineRule="auto"/>
        <w:jc w:val="center"/>
        <w:rPr>
          <w:rFonts w:ascii="Times New Roman" w:eastAsia="Times New Roman" w:hAnsi="Times New Roman" w:cs="Times New Roman"/>
          <w:b/>
          <w:bCs/>
          <w:color w:val="000000"/>
        </w:rPr>
      </w:pPr>
      <w:r w:rsidRPr="00871E89">
        <w:rPr>
          <w:rFonts w:ascii="Times New Roman" w:eastAsia="Times New Roman" w:hAnsi="Times New Roman" w:cs="Times New Roman"/>
          <w:b/>
          <w:bCs/>
          <w:color w:val="000000"/>
        </w:rPr>
        <w:t>Reserves and Funds Pattern of Standard Chartered Bank Nepal Ltd. (Rs in millions)</w:t>
      </w:r>
    </w:p>
    <w:p w:rsidR="003507F1" w:rsidRPr="00871E89" w:rsidRDefault="003507F1" w:rsidP="003507F1">
      <w:pPr>
        <w:spacing w:after="0" w:line="360" w:lineRule="auto"/>
        <w:jc w:val="center"/>
        <w:rPr>
          <w:rFonts w:ascii="Times New Roman" w:eastAsia="Times New Roman" w:hAnsi="Times New Roman" w:cs="Times New Roman"/>
          <w:b/>
          <w:bCs/>
          <w:color w:val="000000"/>
        </w:rPr>
      </w:pPr>
    </w:p>
    <w:tbl>
      <w:tblPr>
        <w:tblW w:w="13730" w:type="dxa"/>
        <w:tblInd w:w="94" w:type="dxa"/>
        <w:tblLook w:val="04A0" w:firstRow="1" w:lastRow="0" w:firstColumn="1" w:lastColumn="0" w:noHBand="0" w:noVBand="1"/>
      </w:tblPr>
      <w:tblGrid>
        <w:gridCol w:w="1608"/>
        <w:gridCol w:w="2456"/>
        <w:gridCol w:w="1890"/>
        <w:gridCol w:w="2790"/>
        <w:gridCol w:w="2006"/>
        <w:gridCol w:w="960"/>
        <w:gridCol w:w="100"/>
        <w:gridCol w:w="960"/>
        <w:gridCol w:w="960"/>
      </w:tblGrid>
      <w:tr w:rsidR="00817842" w:rsidRPr="00111B84" w:rsidTr="00871E89">
        <w:trPr>
          <w:gridAfter w:val="3"/>
          <w:wAfter w:w="2020" w:type="dxa"/>
          <w:trHeight w:val="782"/>
        </w:trPr>
        <w:tc>
          <w:tcPr>
            <w:tcW w:w="16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2456" w:type="dxa"/>
            <w:tcBorders>
              <w:top w:val="single" w:sz="4" w:space="0" w:color="auto"/>
              <w:left w:val="nil"/>
              <w:bottom w:val="single" w:sz="4" w:space="0" w:color="auto"/>
              <w:right w:val="single" w:sz="4" w:space="0" w:color="auto"/>
            </w:tcBorders>
            <w:shd w:val="clear" w:color="auto" w:fill="auto"/>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Reserves and Funds (X)</w:t>
            </w:r>
          </w:p>
        </w:tc>
        <w:tc>
          <w:tcPr>
            <w:tcW w:w="1890" w:type="dxa"/>
            <w:tcBorders>
              <w:top w:val="single" w:sz="4" w:space="0" w:color="auto"/>
              <w:left w:val="nil"/>
              <w:bottom w:val="single" w:sz="4" w:space="0" w:color="auto"/>
              <w:right w:val="single" w:sz="4" w:space="0" w:color="auto"/>
            </w:tcBorders>
            <w:shd w:val="clear" w:color="auto" w:fill="auto"/>
            <w:noWrap/>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790" w:type="dxa"/>
            <w:tcBorders>
              <w:top w:val="single" w:sz="4" w:space="0" w:color="auto"/>
              <w:left w:val="nil"/>
              <w:bottom w:val="single" w:sz="4" w:space="0" w:color="auto"/>
              <w:right w:val="single" w:sz="4" w:space="0" w:color="auto"/>
            </w:tcBorders>
            <w:shd w:val="clear" w:color="auto" w:fill="auto"/>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15"/>
        </w:trPr>
        <w:tc>
          <w:tcPr>
            <w:tcW w:w="1608"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2456"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1871.76</w:t>
            </w:r>
          </w:p>
        </w:tc>
        <w:tc>
          <w:tcPr>
            <w:tcW w:w="18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_</w:t>
            </w:r>
          </w:p>
        </w:tc>
        <w:tc>
          <w:tcPr>
            <w:tcW w:w="27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_</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15"/>
        </w:trPr>
        <w:tc>
          <w:tcPr>
            <w:tcW w:w="1608"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2456"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2120.50</w:t>
            </w:r>
          </w:p>
        </w:tc>
        <w:tc>
          <w:tcPr>
            <w:tcW w:w="18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113.29</w:t>
            </w:r>
          </w:p>
        </w:tc>
        <w:tc>
          <w:tcPr>
            <w:tcW w:w="27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13.29</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15"/>
        </w:trPr>
        <w:tc>
          <w:tcPr>
            <w:tcW w:w="1608"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2456"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442.45</w:t>
            </w:r>
          </w:p>
        </w:tc>
        <w:tc>
          <w:tcPr>
            <w:tcW w:w="18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23.64</w:t>
            </w:r>
          </w:p>
        </w:tc>
        <w:tc>
          <w:tcPr>
            <w:tcW w:w="27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-79.13</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15"/>
        </w:trPr>
        <w:tc>
          <w:tcPr>
            <w:tcW w:w="1608"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2456"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2067.61</w:t>
            </w:r>
          </w:p>
        </w:tc>
        <w:tc>
          <w:tcPr>
            <w:tcW w:w="18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110.46</w:t>
            </w:r>
          </w:p>
        </w:tc>
        <w:tc>
          <w:tcPr>
            <w:tcW w:w="27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367.31</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15"/>
        </w:trPr>
        <w:tc>
          <w:tcPr>
            <w:tcW w:w="1608"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2456"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2270.48</w:t>
            </w:r>
          </w:p>
        </w:tc>
        <w:tc>
          <w:tcPr>
            <w:tcW w:w="18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121.30</w:t>
            </w:r>
          </w:p>
        </w:tc>
        <w:tc>
          <w:tcPr>
            <w:tcW w:w="2790" w:type="dxa"/>
            <w:tcBorders>
              <w:top w:val="nil"/>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9.8</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30"/>
        </w:trPr>
        <w:tc>
          <w:tcPr>
            <w:tcW w:w="1608" w:type="dxa"/>
            <w:tcBorders>
              <w:top w:val="nil"/>
              <w:left w:val="single" w:sz="4" w:space="0" w:color="auto"/>
              <w:bottom w:val="double" w:sz="6"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2456" w:type="dxa"/>
            <w:tcBorders>
              <w:top w:val="nil"/>
              <w:left w:val="nil"/>
              <w:bottom w:val="double" w:sz="6"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8772.80</w:t>
            </w:r>
          </w:p>
        </w:tc>
        <w:tc>
          <w:tcPr>
            <w:tcW w:w="1890" w:type="dxa"/>
            <w:tcBorders>
              <w:top w:val="nil"/>
              <w:left w:val="nil"/>
              <w:bottom w:val="double" w:sz="6"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790" w:type="dxa"/>
            <w:tcBorders>
              <w:top w:val="nil"/>
              <w:left w:val="nil"/>
              <w:bottom w:val="double" w:sz="6"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311.28</w:t>
            </w: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817842" w:rsidRPr="00111B84" w:rsidTr="00871E89">
        <w:trPr>
          <w:gridAfter w:val="3"/>
          <w:wAfter w:w="2020" w:type="dxa"/>
          <w:trHeight w:val="330"/>
        </w:trPr>
        <w:tc>
          <w:tcPr>
            <w:tcW w:w="1608"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p>
        </w:tc>
        <w:tc>
          <w:tcPr>
            <w:tcW w:w="245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p>
        </w:tc>
        <w:tc>
          <w:tcPr>
            <w:tcW w:w="189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p>
        </w:tc>
        <w:tc>
          <w:tcPr>
            <w:tcW w:w="279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p>
        </w:tc>
        <w:tc>
          <w:tcPr>
            <w:tcW w:w="2006"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608"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245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1754.56</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00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608"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245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747.24</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00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608"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245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42.59</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00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608"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245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62.26</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006"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bl>
    <w:p w:rsidR="005130C0" w:rsidRPr="00111B84" w:rsidRDefault="005130C0" w:rsidP="003507F1">
      <w:pPr>
        <w:tabs>
          <w:tab w:val="left" w:pos="3208"/>
        </w:tabs>
        <w:spacing w:after="0" w:line="360" w:lineRule="auto"/>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4.2 shows that Reserves and Funds Pattern of SCBNL for the period between 2064/65-2068/69. From the figures presented in the table, it has been observed that the Reserves and Funds of SCBNL has fluctuating trend with the highest index of 121.30% which is slightly  greater than as compared to the figure in 2064/65 (base year).</w:t>
      </w:r>
    </w:p>
    <w:p w:rsidR="00871E89" w:rsidRPr="00111B84" w:rsidRDefault="00871E89" w:rsidP="00D25535">
      <w:pPr>
        <w:tabs>
          <w:tab w:val="left" w:pos="3208"/>
        </w:tabs>
        <w:spacing w:after="0" w:line="360" w:lineRule="auto"/>
        <w:jc w:val="both"/>
        <w:rPr>
          <w:rFonts w:ascii="Times New Roman" w:hAnsi="Times New Roman" w:cs="Times New Roman"/>
          <w:sz w:val="24"/>
          <w:szCs w:val="24"/>
        </w:rPr>
      </w:pPr>
    </w:p>
    <w:p w:rsidR="00D37725" w:rsidRDefault="005130C0" w:rsidP="00871E89">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Reserves and Funds was Rs 1754.56 with Coefficient of Variation of 42.59 percent. Reserves and Funds grew at an average annual rate of 62.26 percent. The highest increment (367.31 percent) of Reserves and Funds took place in the year 2067/68 and the lowest increment was found in the year 2066/67. Reserves and Funds of this bank have been found to grow at an average annual rate of 62.26 percent.</w:t>
      </w:r>
      <w:r w:rsidR="00D37725" w:rsidRPr="00D37725">
        <w:rPr>
          <w:rFonts w:ascii="Times New Roman" w:eastAsia="Times New Roman" w:hAnsi="Times New Roman" w:cs="Times New Roman"/>
          <w:b/>
          <w:bCs/>
          <w:color w:val="000000"/>
          <w:sz w:val="24"/>
          <w:szCs w:val="24"/>
        </w:rPr>
        <w:t xml:space="preserve"> </w:t>
      </w:r>
    </w:p>
    <w:p w:rsidR="00D37725" w:rsidRDefault="00D37725" w:rsidP="00D25535">
      <w:pPr>
        <w:spacing w:after="0" w:line="360" w:lineRule="auto"/>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No.4.3</w:t>
      </w:r>
    </w:p>
    <w:p w:rsidR="00D37725" w:rsidRDefault="00D37725" w:rsidP="003507F1">
      <w:pPr>
        <w:spacing w:after="0" w:line="360" w:lineRule="auto"/>
        <w:jc w:val="center"/>
        <w:rPr>
          <w:rFonts w:ascii="Times New Roman" w:eastAsia="Times New Roman" w:hAnsi="Times New Roman" w:cs="Times New Roman"/>
          <w:b/>
          <w:bCs/>
          <w:color w:val="000000"/>
          <w:szCs w:val="24"/>
        </w:rPr>
      </w:pPr>
      <w:r w:rsidRPr="00871E89">
        <w:rPr>
          <w:rFonts w:ascii="Times New Roman" w:eastAsia="Times New Roman" w:hAnsi="Times New Roman" w:cs="Times New Roman"/>
          <w:b/>
          <w:bCs/>
          <w:color w:val="000000"/>
          <w:szCs w:val="24"/>
        </w:rPr>
        <w:t>Loans and Borrowings Pattern of Standard Chartered Bank Nepal Ltd. (Rs in millions)</w:t>
      </w:r>
    </w:p>
    <w:p w:rsidR="003507F1" w:rsidRPr="00871E89" w:rsidRDefault="003507F1" w:rsidP="003507F1">
      <w:pPr>
        <w:spacing w:after="0" w:line="360" w:lineRule="auto"/>
        <w:jc w:val="center"/>
        <w:rPr>
          <w:rFonts w:ascii="Times New Roman" w:eastAsia="Times New Roman" w:hAnsi="Times New Roman" w:cs="Times New Roman"/>
          <w:b/>
          <w:bCs/>
          <w:color w:val="000000"/>
          <w:szCs w:val="24"/>
        </w:rPr>
      </w:pPr>
    </w:p>
    <w:tbl>
      <w:tblPr>
        <w:tblW w:w="14015" w:type="dxa"/>
        <w:tblInd w:w="94" w:type="dxa"/>
        <w:tblLook w:val="04A0" w:firstRow="1" w:lastRow="0" w:firstColumn="1" w:lastColumn="0" w:noHBand="0" w:noVBand="1"/>
      </w:tblPr>
      <w:tblGrid>
        <w:gridCol w:w="1364"/>
        <w:gridCol w:w="2250"/>
        <w:gridCol w:w="1890"/>
        <w:gridCol w:w="3150"/>
        <w:gridCol w:w="2381"/>
        <w:gridCol w:w="1060"/>
        <w:gridCol w:w="960"/>
        <w:gridCol w:w="960"/>
      </w:tblGrid>
      <w:tr w:rsidR="005130C0" w:rsidRPr="00111B84" w:rsidTr="00871E89">
        <w:trPr>
          <w:trHeight w:val="710"/>
        </w:trPr>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2250"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Loans and Borrowings (X)</w:t>
            </w:r>
          </w:p>
        </w:tc>
        <w:tc>
          <w:tcPr>
            <w:tcW w:w="1890" w:type="dxa"/>
            <w:tcBorders>
              <w:top w:val="single" w:sz="4" w:space="0" w:color="auto"/>
              <w:left w:val="nil"/>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3150"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22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18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31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22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300.00</w:t>
            </w:r>
          </w:p>
        </w:tc>
        <w:tc>
          <w:tcPr>
            <w:tcW w:w="18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31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22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2209.31</w:t>
            </w:r>
          </w:p>
        </w:tc>
        <w:tc>
          <w:tcPr>
            <w:tcW w:w="18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736.44</w:t>
            </w:r>
          </w:p>
        </w:tc>
        <w:tc>
          <w:tcPr>
            <w:tcW w:w="31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636.44</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22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350.00</w:t>
            </w:r>
          </w:p>
        </w:tc>
        <w:tc>
          <w:tcPr>
            <w:tcW w:w="18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116.67</w:t>
            </w:r>
          </w:p>
        </w:tc>
        <w:tc>
          <w:tcPr>
            <w:tcW w:w="31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-84.16</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22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18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315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-100.00</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30"/>
        </w:trPr>
        <w:tc>
          <w:tcPr>
            <w:tcW w:w="1364" w:type="dxa"/>
            <w:tcBorders>
              <w:top w:val="nil"/>
              <w:left w:val="single" w:sz="4" w:space="0" w:color="auto"/>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225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2859.31</w:t>
            </w:r>
          </w:p>
        </w:tc>
        <w:tc>
          <w:tcPr>
            <w:tcW w:w="189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853.10</w:t>
            </w:r>
          </w:p>
        </w:tc>
        <w:tc>
          <w:tcPr>
            <w:tcW w:w="315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452.28</w:t>
            </w: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nil"/>
              <w:bottom w:val="nil"/>
              <w:right w:val="nil"/>
            </w:tcBorders>
            <w:shd w:val="clear" w:color="auto" w:fill="auto"/>
            <w:noWrap/>
            <w:vAlign w:val="bottom"/>
            <w:hideMark/>
          </w:tcPr>
          <w:p w:rsidR="00C26AE7" w:rsidRDefault="00C26AE7" w:rsidP="003507F1">
            <w:pPr>
              <w:spacing w:after="0" w:line="360" w:lineRule="auto"/>
              <w:rPr>
                <w:rFonts w:ascii="Times New Roman" w:eastAsia="Times New Roman" w:hAnsi="Times New Roman" w:cs="Times New Roman"/>
                <w:color w:val="000000"/>
                <w:sz w:val="24"/>
                <w:szCs w:val="24"/>
              </w:rPr>
            </w:pPr>
          </w:p>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22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571.86</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1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22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929.84</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1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22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162.60</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1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36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22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90.46</w:t>
            </w:r>
          </w:p>
        </w:tc>
        <w:tc>
          <w:tcPr>
            <w:tcW w:w="18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15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38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bl>
    <w:p w:rsidR="005130C0" w:rsidRPr="00111B84" w:rsidRDefault="005130C0" w:rsidP="00D25535">
      <w:pPr>
        <w:tabs>
          <w:tab w:val="left" w:pos="3208"/>
        </w:tabs>
        <w:spacing w:after="0" w:line="360" w:lineRule="auto"/>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4.3 shows that Loans and Borrowings Pattern of SCBNL for the period between 2064/65-2068/69. From the figures presented in the table, it has been observed that the Loans and Borrowings of SCBNL has no amount and after this, there increasing trend with the highest index of 736.44% which is maximum as compared to the figure in 2064/65 (base year).</w:t>
      </w:r>
    </w:p>
    <w:p w:rsidR="002243BE" w:rsidRPr="00111B84" w:rsidRDefault="002243BE" w:rsidP="00D25535">
      <w:pPr>
        <w:tabs>
          <w:tab w:val="left" w:pos="3208"/>
        </w:tabs>
        <w:spacing w:after="0" w:line="360" w:lineRule="auto"/>
        <w:jc w:val="both"/>
        <w:rPr>
          <w:rFonts w:ascii="Times New Roman" w:hAnsi="Times New Roman" w:cs="Times New Roman"/>
          <w:sz w:val="24"/>
          <w:szCs w:val="24"/>
        </w:rPr>
      </w:pPr>
    </w:p>
    <w:p w:rsidR="00D37725"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Loans and Borrowings was Rs 571.86 with Coefficient of Variation of 162.60 percent. Loans and Borrowings grew at an average annual rate of 90.46 percent. The highest increment (636.44 percent) of Loans and Borrowings took place in the year 2066/67 and the lowest increment was found in the year 2067/68. Loans and Borrowings of this bank have been found to grow at an avera</w:t>
      </w:r>
      <w:r w:rsidR="00C05935" w:rsidRPr="00111B84">
        <w:rPr>
          <w:rFonts w:ascii="Times New Roman" w:hAnsi="Times New Roman" w:cs="Times New Roman"/>
          <w:sz w:val="24"/>
          <w:szCs w:val="24"/>
        </w:rPr>
        <w:t>ge annual rate of 90.46 percent</w:t>
      </w:r>
      <w:r w:rsidR="00D37725" w:rsidRPr="00D37725">
        <w:rPr>
          <w:rFonts w:ascii="Times New Roman" w:eastAsia="Times New Roman" w:hAnsi="Times New Roman" w:cs="Times New Roman"/>
          <w:b/>
          <w:bCs/>
          <w:color w:val="000000"/>
          <w:sz w:val="24"/>
          <w:szCs w:val="24"/>
        </w:rPr>
        <w:t xml:space="preserve"> </w:t>
      </w: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No.4.4</w:t>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Deposit Liability Pattern of SCB Nepal Ltd. (Rs in millions)</w:t>
      </w:r>
    </w:p>
    <w:p w:rsidR="003507F1" w:rsidRPr="00111B84" w:rsidRDefault="003507F1" w:rsidP="003507F1">
      <w:pPr>
        <w:spacing w:after="0" w:line="360" w:lineRule="auto"/>
        <w:jc w:val="center"/>
        <w:rPr>
          <w:rFonts w:ascii="Times New Roman" w:eastAsia="Times New Roman" w:hAnsi="Times New Roman" w:cs="Times New Roman"/>
          <w:b/>
          <w:bCs/>
          <w:color w:val="000000"/>
          <w:sz w:val="24"/>
          <w:szCs w:val="24"/>
        </w:rPr>
      </w:pPr>
    </w:p>
    <w:tbl>
      <w:tblPr>
        <w:tblW w:w="13086" w:type="dxa"/>
        <w:tblInd w:w="94" w:type="dxa"/>
        <w:tblLook w:val="04A0" w:firstRow="1" w:lastRow="0" w:firstColumn="1" w:lastColumn="0" w:noHBand="0" w:noVBand="1"/>
      </w:tblPr>
      <w:tblGrid>
        <w:gridCol w:w="1537"/>
        <w:gridCol w:w="2135"/>
        <w:gridCol w:w="2192"/>
        <w:gridCol w:w="2790"/>
        <w:gridCol w:w="1452"/>
        <w:gridCol w:w="1060"/>
        <w:gridCol w:w="960"/>
        <w:gridCol w:w="960"/>
      </w:tblGrid>
      <w:tr w:rsidR="005130C0" w:rsidRPr="00111B84" w:rsidTr="003507F1">
        <w:trPr>
          <w:trHeight w:val="647"/>
        </w:trPr>
        <w:tc>
          <w:tcPr>
            <w:tcW w:w="15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2135"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Deposit Liability (X)</w:t>
            </w:r>
          </w:p>
        </w:tc>
        <w:tc>
          <w:tcPr>
            <w:tcW w:w="2192" w:type="dxa"/>
            <w:tcBorders>
              <w:top w:val="single" w:sz="4" w:space="0" w:color="auto"/>
              <w:left w:val="nil"/>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790"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2135"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29744.00</w:t>
            </w:r>
          </w:p>
        </w:tc>
        <w:tc>
          <w:tcPr>
            <w:tcW w:w="2192"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2135"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35871.72</w:t>
            </w:r>
          </w:p>
        </w:tc>
        <w:tc>
          <w:tcPr>
            <w:tcW w:w="2192"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120.60</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20.60</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2135"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2192"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-100.00</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2135"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37999.24</w:t>
            </w:r>
          </w:p>
        </w:tc>
        <w:tc>
          <w:tcPr>
            <w:tcW w:w="2192"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127.75</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2135"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35965.63</w:t>
            </w:r>
          </w:p>
        </w:tc>
        <w:tc>
          <w:tcPr>
            <w:tcW w:w="2192"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120.92</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-5.35</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30"/>
        </w:trPr>
        <w:tc>
          <w:tcPr>
            <w:tcW w:w="1537" w:type="dxa"/>
            <w:tcBorders>
              <w:top w:val="nil"/>
              <w:left w:val="single" w:sz="4" w:space="0" w:color="auto"/>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2135"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139580.59</w:t>
            </w:r>
          </w:p>
        </w:tc>
        <w:tc>
          <w:tcPr>
            <w:tcW w:w="2192"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79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-84.75</w:t>
            </w: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nil"/>
              <w:bottom w:val="nil"/>
              <w:right w:val="nil"/>
            </w:tcBorders>
            <w:shd w:val="clear" w:color="auto" w:fill="auto"/>
            <w:noWrap/>
            <w:vAlign w:val="bottom"/>
            <w:hideMark/>
          </w:tcPr>
          <w:p w:rsidR="00817842" w:rsidRDefault="00817842" w:rsidP="003507F1">
            <w:pPr>
              <w:spacing w:after="0" w:line="360" w:lineRule="auto"/>
              <w:rPr>
                <w:rFonts w:ascii="Times New Roman" w:eastAsia="Times New Roman" w:hAnsi="Times New Roman" w:cs="Times New Roman"/>
                <w:color w:val="000000"/>
                <w:sz w:val="24"/>
                <w:szCs w:val="24"/>
              </w:rPr>
            </w:pPr>
          </w:p>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2135"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27916.12</w:t>
            </w:r>
          </w:p>
        </w:tc>
        <w:tc>
          <w:tcPr>
            <w:tcW w:w="219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2135"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15909.17</w:t>
            </w:r>
          </w:p>
        </w:tc>
        <w:tc>
          <w:tcPr>
            <w:tcW w:w="219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2135"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56.99</w:t>
            </w:r>
          </w:p>
        </w:tc>
        <w:tc>
          <w:tcPr>
            <w:tcW w:w="219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3507F1">
        <w:trPr>
          <w:trHeight w:val="315"/>
        </w:trPr>
        <w:tc>
          <w:tcPr>
            <w:tcW w:w="1537"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2135"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-16.95</w:t>
            </w:r>
          </w:p>
        </w:tc>
        <w:tc>
          <w:tcPr>
            <w:tcW w:w="219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452"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bl>
    <w:p w:rsidR="003507F1" w:rsidRDefault="003507F1"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4.4 shows that Deposit Liability Pattern of SCBNL for the period between 2064/65-2068/69. From the figures presented in the table, it has been observed that the Deposit Liability of SCBNL has fluctuating trend with the highest index 127.75% which is slight changed  as compared to the figure in 2064/65 (base year).</w:t>
      </w:r>
    </w:p>
    <w:p w:rsidR="002243BE" w:rsidRPr="00111B84" w:rsidRDefault="002243BE" w:rsidP="00D25535">
      <w:pPr>
        <w:tabs>
          <w:tab w:val="left" w:pos="3208"/>
        </w:tabs>
        <w:spacing w:after="0" w:line="360" w:lineRule="auto"/>
        <w:jc w:val="both"/>
        <w:rPr>
          <w:rFonts w:ascii="Times New Roman" w:hAnsi="Times New Roman" w:cs="Times New Roman"/>
          <w:sz w:val="24"/>
          <w:szCs w:val="24"/>
        </w:rPr>
      </w:pPr>
    </w:p>
    <w:p w:rsidR="00D37725"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Deposit Liability was Rs 27916.12 with Coefficient of Variation of 56.99 percent. Deposit Liability declined at an average annual rate of -16.95 percent. The highest increment (20.60 percent) of Deposit Liability took place in the year 2065/66 and the lowest increment was found in the year 2068/69. Deposit Liability of this bank has been found to decline at an average annual rate of -16.95 percent.</w:t>
      </w:r>
      <w:r w:rsidR="00817842" w:rsidRPr="00817842">
        <w:rPr>
          <w:rFonts w:ascii="Times New Roman" w:eastAsia="Times New Roman" w:hAnsi="Times New Roman" w:cs="Times New Roman"/>
          <w:b/>
          <w:bCs/>
          <w:color w:val="000000"/>
          <w:sz w:val="24"/>
          <w:szCs w:val="24"/>
        </w:rPr>
        <w:t xml:space="preserve"> </w:t>
      </w: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No.4.5</w:t>
      </w:r>
      <w:r w:rsidRPr="00D37725">
        <w:rPr>
          <w:rFonts w:ascii="Times New Roman" w:eastAsia="Times New Roman" w:hAnsi="Times New Roman" w:cs="Times New Roman"/>
          <w:b/>
          <w:bCs/>
          <w:color w:val="000000"/>
          <w:sz w:val="24"/>
          <w:szCs w:val="24"/>
        </w:rPr>
        <w:t xml:space="preserve"> </w:t>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C40115">
        <w:rPr>
          <w:rFonts w:ascii="Times New Roman" w:eastAsia="Times New Roman" w:hAnsi="Times New Roman" w:cs="Times New Roman"/>
          <w:b/>
          <w:bCs/>
          <w:color w:val="000000"/>
          <w:sz w:val="24"/>
          <w:szCs w:val="24"/>
        </w:rPr>
        <w:t xml:space="preserve">Money at Call and Short Notice Pattern of </w:t>
      </w:r>
      <w:r w:rsidR="00C40115" w:rsidRPr="00C40115">
        <w:rPr>
          <w:rFonts w:ascii="Times New Roman" w:eastAsia="Times New Roman" w:hAnsi="Times New Roman" w:cs="Times New Roman"/>
          <w:b/>
          <w:bCs/>
          <w:color w:val="000000"/>
          <w:sz w:val="24"/>
          <w:szCs w:val="24"/>
        </w:rPr>
        <w:t>SCB</w:t>
      </w:r>
      <w:r w:rsidRPr="00C40115">
        <w:rPr>
          <w:rFonts w:ascii="Times New Roman" w:eastAsia="Times New Roman" w:hAnsi="Times New Roman" w:cs="Times New Roman"/>
          <w:b/>
          <w:bCs/>
          <w:color w:val="000000"/>
          <w:sz w:val="24"/>
          <w:szCs w:val="24"/>
        </w:rPr>
        <w:t xml:space="preserve"> Nepal Ltd. (Rs in millions)</w:t>
      </w:r>
    </w:p>
    <w:p w:rsidR="003507F1" w:rsidRPr="00C40115" w:rsidRDefault="003507F1" w:rsidP="003507F1">
      <w:pPr>
        <w:spacing w:after="0" w:line="360" w:lineRule="auto"/>
        <w:jc w:val="center"/>
        <w:rPr>
          <w:rFonts w:ascii="Times New Roman" w:eastAsia="Times New Roman" w:hAnsi="Times New Roman" w:cs="Times New Roman"/>
          <w:b/>
          <w:bCs/>
          <w:color w:val="000000"/>
          <w:sz w:val="24"/>
          <w:szCs w:val="24"/>
        </w:rPr>
      </w:pPr>
    </w:p>
    <w:tbl>
      <w:tblPr>
        <w:tblW w:w="15774" w:type="dxa"/>
        <w:tblInd w:w="94" w:type="dxa"/>
        <w:tblLook w:val="04A0" w:firstRow="1" w:lastRow="0" w:firstColumn="1" w:lastColumn="0" w:noHBand="0" w:noVBand="1"/>
      </w:tblPr>
      <w:tblGrid>
        <w:gridCol w:w="1831"/>
        <w:gridCol w:w="2413"/>
        <w:gridCol w:w="1710"/>
        <w:gridCol w:w="2790"/>
        <w:gridCol w:w="960"/>
        <w:gridCol w:w="1170"/>
        <w:gridCol w:w="1060"/>
        <w:gridCol w:w="960"/>
        <w:gridCol w:w="960"/>
        <w:gridCol w:w="960"/>
        <w:gridCol w:w="960"/>
      </w:tblGrid>
      <w:tr w:rsidR="00871E89" w:rsidRPr="00111B84" w:rsidTr="00871E89">
        <w:trPr>
          <w:gridAfter w:val="6"/>
          <w:wAfter w:w="6070" w:type="dxa"/>
          <w:trHeight w:val="620"/>
        </w:trPr>
        <w:tc>
          <w:tcPr>
            <w:tcW w:w="18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2413" w:type="dxa"/>
            <w:tcBorders>
              <w:top w:val="single" w:sz="4" w:space="0" w:color="auto"/>
              <w:left w:val="nil"/>
              <w:bottom w:val="single" w:sz="4" w:space="0" w:color="auto"/>
              <w:right w:val="single" w:sz="4" w:space="0" w:color="auto"/>
            </w:tcBorders>
            <w:shd w:val="clear" w:color="auto" w:fill="auto"/>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Deposit Liability (X)</w:t>
            </w:r>
          </w:p>
        </w:tc>
        <w:tc>
          <w:tcPr>
            <w:tcW w:w="1710" w:type="dxa"/>
            <w:tcBorders>
              <w:top w:val="single" w:sz="4" w:space="0" w:color="auto"/>
              <w:left w:val="nil"/>
              <w:bottom w:val="single" w:sz="4" w:space="0" w:color="auto"/>
              <w:right w:val="single" w:sz="4" w:space="0" w:color="auto"/>
            </w:tcBorders>
            <w:shd w:val="clear" w:color="auto" w:fill="auto"/>
            <w:noWrap/>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790" w:type="dxa"/>
            <w:tcBorders>
              <w:top w:val="single" w:sz="4" w:space="0" w:color="auto"/>
              <w:left w:val="nil"/>
              <w:bottom w:val="single" w:sz="4" w:space="0" w:color="auto"/>
              <w:right w:val="single" w:sz="4" w:space="0" w:color="auto"/>
            </w:tcBorders>
            <w:shd w:val="clear" w:color="auto" w:fill="auto"/>
            <w:vAlign w:val="center"/>
            <w:hideMark/>
          </w:tcPr>
          <w:p w:rsidR="00871E89" w:rsidRPr="00111B84" w:rsidRDefault="00871E89"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single" w:sz="4" w:space="0" w:color="auto"/>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2413"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2197.54</w:t>
            </w:r>
          </w:p>
        </w:tc>
        <w:tc>
          <w:tcPr>
            <w:tcW w:w="171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79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single" w:sz="4" w:space="0" w:color="auto"/>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2413"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2055.55</w:t>
            </w:r>
          </w:p>
        </w:tc>
        <w:tc>
          <w:tcPr>
            <w:tcW w:w="171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93.54</w:t>
            </w:r>
          </w:p>
        </w:tc>
        <w:tc>
          <w:tcPr>
            <w:tcW w:w="279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-6.46</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single" w:sz="4" w:space="0" w:color="auto"/>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2413"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171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279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-100.00</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single" w:sz="4" w:space="0" w:color="auto"/>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2413"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4280.89</w:t>
            </w:r>
          </w:p>
        </w:tc>
        <w:tc>
          <w:tcPr>
            <w:tcW w:w="171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194.80</w:t>
            </w:r>
          </w:p>
        </w:tc>
        <w:tc>
          <w:tcPr>
            <w:tcW w:w="279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single" w:sz="4" w:space="0" w:color="auto"/>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2413"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2126.04</w:t>
            </w:r>
          </w:p>
        </w:tc>
        <w:tc>
          <w:tcPr>
            <w:tcW w:w="171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96.75</w:t>
            </w:r>
          </w:p>
        </w:tc>
        <w:tc>
          <w:tcPr>
            <w:tcW w:w="2790" w:type="dxa"/>
            <w:tcBorders>
              <w:top w:val="nil"/>
              <w:left w:val="nil"/>
              <w:bottom w:val="single" w:sz="4"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-50.34</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30"/>
        </w:trPr>
        <w:tc>
          <w:tcPr>
            <w:tcW w:w="1831" w:type="dxa"/>
            <w:tcBorders>
              <w:top w:val="nil"/>
              <w:left w:val="single" w:sz="4" w:space="0" w:color="auto"/>
              <w:bottom w:val="double" w:sz="6"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2413" w:type="dxa"/>
            <w:tcBorders>
              <w:top w:val="nil"/>
              <w:left w:val="nil"/>
              <w:bottom w:val="double" w:sz="6"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10660.01</w:t>
            </w:r>
          </w:p>
        </w:tc>
        <w:tc>
          <w:tcPr>
            <w:tcW w:w="1710" w:type="dxa"/>
            <w:tcBorders>
              <w:top w:val="nil"/>
              <w:left w:val="nil"/>
              <w:bottom w:val="double" w:sz="6" w:space="0" w:color="auto"/>
              <w:right w:val="single" w:sz="4" w:space="0" w:color="auto"/>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790" w:type="dxa"/>
            <w:tcBorders>
              <w:top w:val="nil"/>
              <w:left w:val="nil"/>
              <w:bottom w:val="double" w:sz="6" w:space="0" w:color="auto"/>
              <w:right w:val="single" w:sz="4" w:space="0" w:color="auto"/>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-156.80</w:t>
            </w: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30"/>
        </w:trPr>
        <w:tc>
          <w:tcPr>
            <w:tcW w:w="1831"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p>
        </w:tc>
        <w:tc>
          <w:tcPr>
            <w:tcW w:w="2413"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p>
        </w:tc>
        <w:tc>
          <w:tcPr>
            <w:tcW w:w="171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p>
        </w:tc>
        <w:tc>
          <w:tcPr>
            <w:tcW w:w="279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b/>
                <w:bCs/>
                <w:color w:val="000000"/>
                <w:sz w:val="24"/>
                <w:szCs w:val="24"/>
              </w:rPr>
            </w:pP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871E89" w:rsidRPr="00111B84" w:rsidTr="00871E89">
        <w:trPr>
          <w:gridAfter w:val="6"/>
          <w:wAfter w:w="6070" w:type="dxa"/>
          <w:trHeight w:val="315"/>
        </w:trPr>
        <w:tc>
          <w:tcPr>
            <w:tcW w:w="1831"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2413"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2132.00</w:t>
            </w:r>
          </w:p>
        </w:tc>
        <w:tc>
          <w:tcPr>
            <w:tcW w:w="171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71E89" w:rsidRPr="00111B84" w:rsidRDefault="00871E89"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83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241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1514.37</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13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83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241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71.03</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13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15"/>
        </w:trPr>
        <w:tc>
          <w:tcPr>
            <w:tcW w:w="1831"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241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-31.36</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130" w:type="dxa"/>
            <w:gridSpan w:val="2"/>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871E89">
        <w:trPr>
          <w:trHeight w:val="300"/>
        </w:trPr>
        <w:tc>
          <w:tcPr>
            <w:tcW w:w="1831" w:type="dxa"/>
            <w:tcBorders>
              <w:top w:val="nil"/>
              <w:left w:val="nil"/>
              <w:bottom w:val="nil"/>
              <w:right w:val="nil"/>
            </w:tcBorders>
            <w:shd w:val="clear" w:color="auto" w:fill="auto"/>
            <w:noWrap/>
            <w:vAlign w:val="bottom"/>
            <w:hideMark/>
          </w:tcPr>
          <w:p w:rsidR="005130C0" w:rsidRPr="00111B84" w:rsidRDefault="005130C0" w:rsidP="00C40115">
            <w:pPr>
              <w:spacing w:after="0" w:line="240" w:lineRule="auto"/>
              <w:rPr>
                <w:rFonts w:ascii="Times New Roman" w:eastAsia="Times New Roman" w:hAnsi="Times New Roman" w:cs="Times New Roman"/>
                <w:color w:val="000000"/>
                <w:sz w:val="24"/>
                <w:szCs w:val="24"/>
              </w:rPr>
            </w:pPr>
          </w:p>
        </w:tc>
        <w:tc>
          <w:tcPr>
            <w:tcW w:w="2413" w:type="dxa"/>
            <w:tcBorders>
              <w:top w:val="nil"/>
              <w:left w:val="nil"/>
              <w:bottom w:val="nil"/>
              <w:right w:val="nil"/>
            </w:tcBorders>
            <w:shd w:val="clear" w:color="auto" w:fill="auto"/>
            <w:noWrap/>
            <w:vAlign w:val="bottom"/>
            <w:hideMark/>
          </w:tcPr>
          <w:p w:rsidR="005130C0" w:rsidRPr="00111B84" w:rsidRDefault="005130C0" w:rsidP="00C40115">
            <w:pPr>
              <w:spacing w:after="0" w:line="240" w:lineRule="auto"/>
              <w:rPr>
                <w:rFonts w:ascii="Times New Roman" w:eastAsia="Times New Roman" w:hAnsi="Times New Roman" w:cs="Times New Roman"/>
                <w:color w:val="000000"/>
                <w:sz w:val="24"/>
                <w:szCs w:val="24"/>
              </w:rPr>
            </w:pPr>
          </w:p>
        </w:tc>
        <w:tc>
          <w:tcPr>
            <w:tcW w:w="1710" w:type="dxa"/>
            <w:tcBorders>
              <w:top w:val="nil"/>
              <w:left w:val="nil"/>
              <w:bottom w:val="nil"/>
              <w:right w:val="nil"/>
            </w:tcBorders>
            <w:shd w:val="clear" w:color="auto" w:fill="auto"/>
            <w:noWrap/>
            <w:vAlign w:val="bottom"/>
            <w:hideMark/>
          </w:tcPr>
          <w:p w:rsidR="005130C0" w:rsidRPr="00111B84" w:rsidRDefault="005130C0" w:rsidP="00C40115">
            <w:pPr>
              <w:spacing w:after="0" w:line="24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C40115">
            <w:pPr>
              <w:spacing w:after="0" w:line="240" w:lineRule="auto"/>
              <w:rPr>
                <w:rFonts w:ascii="Times New Roman" w:eastAsia="Times New Roman" w:hAnsi="Times New Roman" w:cs="Times New Roman"/>
                <w:color w:val="000000"/>
                <w:sz w:val="24"/>
                <w:szCs w:val="24"/>
              </w:rPr>
            </w:pPr>
          </w:p>
        </w:tc>
        <w:tc>
          <w:tcPr>
            <w:tcW w:w="2130" w:type="dxa"/>
            <w:gridSpan w:val="2"/>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D25535">
            <w:pPr>
              <w:spacing w:after="0" w:line="360" w:lineRule="auto"/>
              <w:rPr>
                <w:rFonts w:ascii="Times New Roman" w:eastAsia="Times New Roman" w:hAnsi="Times New Roman" w:cs="Times New Roman"/>
                <w:color w:val="000000"/>
                <w:sz w:val="24"/>
                <w:szCs w:val="24"/>
              </w:rPr>
            </w:pPr>
          </w:p>
        </w:tc>
      </w:tr>
    </w:tbl>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4.5 shows that Money at Call and Short Notice Pattern of SCBNL for the period between 2064/65-2068/69. From the figures presented in the table, it has been observed that the Money at Call and Short Notice of SCBNL has fluctuating trend with the highest index 194.80 which is twofold greater  as compared to the figure in 2064/65 (base year).</w:t>
      </w:r>
    </w:p>
    <w:p w:rsidR="002243BE" w:rsidRPr="00C40115" w:rsidRDefault="002243BE" w:rsidP="00C40115">
      <w:pPr>
        <w:tabs>
          <w:tab w:val="left" w:pos="3208"/>
        </w:tabs>
        <w:spacing w:after="0" w:line="360" w:lineRule="auto"/>
        <w:jc w:val="both"/>
        <w:rPr>
          <w:rFonts w:ascii="Times New Roman" w:hAnsi="Times New Roman" w:cs="Times New Roman"/>
          <w:sz w:val="18"/>
          <w:szCs w:val="24"/>
        </w:rPr>
      </w:pPr>
    </w:p>
    <w:p w:rsidR="00D37725"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Money at Call and Short Notice was Rs 2132 with Coefficient of Variation of 71.03 percent. Money at Call and Short Notice declined an average annual rate of -31.36 percent. The highest increment (-100 percent) of Money at Calls and Short Notice took place in the year 2066/67 and the lowest increment was found in the year 2065/66. Money at Calls and Short Notice of this bank has been found to decline at an average annual rate of -31.36 percent.</w:t>
      </w:r>
      <w:r w:rsidR="00D37725" w:rsidRPr="00D37725">
        <w:rPr>
          <w:rFonts w:ascii="Times New Roman" w:eastAsia="Times New Roman" w:hAnsi="Times New Roman" w:cs="Times New Roman"/>
          <w:b/>
          <w:bCs/>
          <w:color w:val="000000"/>
          <w:sz w:val="24"/>
          <w:szCs w:val="24"/>
        </w:rPr>
        <w:t xml:space="preserve"> </w:t>
      </w: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No.4.6</w:t>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Inve</w:t>
      </w:r>
      <w:r w:rsidRPr="00111B84">
        <w:rPr>
          <w:rFonts w:ascii="Times New Roman" w:eastAsia="Times New Roman" w:hAnsi="Times New Roman" w:cs="Times New Roman"/>
          <w:b/>
          <w:bCs/>
          <w:color w:val="000000"/>
          <w:sz w:val="24"/>
          <w:szCs w:val="24"/>
        </w:rPr>
        <w:t>stments Pattern of Standard Chartered Bank Nepal Ltd. (Rs in millions)</w:t>
      </w:r>
    </w:p>
    <w:p w:rsidR="00C26AE7" w:rsidRPr="00111B84" w:rsidRDefault="00C26AE7" w:rsidP="003507F1">
      <w:pPr>
        <w:spacing w:after="0" w:line="360" w:lineRule="auto"/>
        <w:jc w:val="center"/>
        <w:rPr>
          <w:rFonts w:ascii="Times New Roman" w:eastAsia="Times New Roman" w:hAnsi="Times New Roman" w:cs="Times New Roman"/>
          <w:b/>
          <w:bCs/>
          <w:color w:val="000000"/>
          <w:sz w:val="24"/>
          <w:szCs w:val="24"/>
        </w:rPr>
      </w:pPr>
    </w:p>
    <w:tbl>
      <w:tblPr>
        <w:tblW w:w="11250" w:type="dxa"/>
        <w:tblInd w:w="94" w:type="dxa"/>
        <w:tblLook w:val="04A0" w:firstRow="1" w:lastRow="0" w:firstColumn="1" w:lastColumn="0" w:noHBand="0" w:noVBand="1"/>
      </w:tblPr>
      <w:tblGrid>
        <w:gridCol w:w="1364"/>
        <w:gridCol w:w="1980"/>
        <w:gridCol w:w="2070"/>
        <w:gridCol w:w="3330"/>
        <w:gridCol w:w="880"/>
        <w:gridCol w:w="853"/>
        <w:gridCol w:w="773"/>
      </w:tblGrid>
      <w:tr w:rsidR="00817842" w:rsidRPr="00111B84" w:rsidTr="00C26AE7">
        <w:trPr>
          <w:gridAfter w:val="3"/>
          <w:wAfter w:w="2506" w:type="dxa"/>
          <w:trHeight w:val="683"/>
        </w:trPr>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1980" w:type="dxa"/>
            <w:tcBorders>
              <w:top w:val="single" w:sz="4" w:space="0" w:color="auto"/>
              <w:left w:val="nil"/>
              <w:bottom w:val="single" w:sz="4" w:space="0" w:color="auto"/>
              <w:right w:val="single" w:sz="4" w:space="0" w:color="auto"/>
            </w:tcBorders>
            <w:shd w:val="clear" w:color="auto" w:fill="auto"/>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Investments (X)</w:t>
            </w:r>
          </w:p>
        </w:tc>
        <w:tc>
          <w:tcPr>
            <w:tcW w:w="2070" w:type="dxa"/>
            <w:tcBorders>
              <w:top w:val="single" w:sz="4" w:space="0" w:color="auto"/>
              <w:left w:val="nil"/>
              <w:bottom w:val="single" w:sz="4" w:space="0" w:color="auto"/>
              <w:right w:val="single" w:sz="4" w:space="0" w:color="auto"/>
            </w:tcBorders>
            <w:shd w:val="clear" w:color="auto" w:fill="auto"/>
            <w:noWrap/>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3330" w:type="dxa"/>
            <w:tcBorders>
              <w:top w:val="single" w:sz="4" w:space="0" w:color="auto"/>
              <w:left w:val="nil"/>
              <w:bottom w:val="single" w:sz="4" w:space="0" w:color="auto"/>
              <w:right w:val="single" w:sz="4" w:space="0" w:color="auto"/>
            </w:tcBorders>
            <w:shd w:val="clear" w:color="auto" w:fill="auto"/>
            <w:vAlign w:val="center"/>
            <w:hideMark/>
          </w:tcPr>
          <w:p w:rsidR="00817842" w:rsidRPr="00111B84" w:rsidRDefault="00817842"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r>
      <w:tr w:rsidR="00817842" w:rsidRPr="00111B84" w:rsidTr="00C26AE7">
        <w:trPr>
          <w:gridAfter w:val="3"/>
          <w:wAfter w:w="2506" w:type="dxa"/>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13902.82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w:t>
            </w:r>
          </w:p>
        </w:tc>
      </w:tr>
      <w:tr w:rsidR="00817842" w:rsidRPr="00111B84" w:rsidTr="00C26AE7">
        <w:trPr>
          <w:gridAfter w:val="3"/>
          <w:wAfter w:w="2506" w:type="dxa"/>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20236.12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145.55</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45.55</w:t>
            </w:r>
          </w:p>
        </w:tc>
      </w:tr>
      <w:tr w:rsidR="00817842" w:rsidRPr="00111B84" w:rsidTr="00C26AE7">
        <w:trPr>
          <w:gridAfter w:val="3"/>
          <w:wAfter w:w="2506" w:type="dxa"/>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1027.52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7.39</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-94.92</w:t>
            </w:r>
          </w:p>
        </w:tc>
      </w:tr>
      <w:tr w:rsidR="00817842" w:rsidRPr="00111B84" w:rsidTr="00C26AE7">
        <w:trPr>
          <w:gridAfter w:val="3"/>
          <w:wAfter w:w="2506" w:type="dxa"/>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17258.68</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124.14</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1579.64</w:t>
            </w:r>
          </w:p>
        </w:tc>
      </w:tr>
      <w:tr w:rsidR="00817842" w:rsidRPr="00111B84" w:rsidTr="00C26AE7">
        <w:trPr>
          <w:gridAfter w:val="3"/>
          <w:wAfter w:w="2506" w:type="dxa"/>
          <w:trHeight w:val="315"/>
        </w:trPr>
        <w:tc>
          <w:tcPr>
            <w:tcW w:w="1364" w:type="dxa"/>
            <w:tcBorders>
              <w:top w:val="nil"/>
              <w:left w:val="single" w:sz="4" w:space="0" w:color="auto"/>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12938.22</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93.06</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-25.03</w:t>
            </w:r>
          </w:p>
        </w:tc>
      </w:tr>
      <w:tr w:rsidR="00817842" w:rsidRPr="00111B84" w:rsidTr="00C26AE7">
        <w:trPr>
          <w:gridAfter w:val="3"/>
          <w:wAfter w:w="2506" w:type="dxa"/>
          <w:trHeight w:val="330"/>
        </w:trPr>
        <w:tc>
          <w:tcPr>
            <w:tcW w:w="1364" w:type="dxa"/>
            <w:tcBorders>
              <w:top w:val="nil"/>
              <w:left w:val="single" w:sz="4" w:space="0" w:color="auto"/>
              <w:bottom w:val="double" w:sz="6"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65363.36</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1505.24</w:t>
            </w:r>
          </w:p>
        </w:tc>
      </w:tr>
      <w:tr w:rsidR="00817842" w:rsidRPr="00111B84" w:rsidTr="00C26AE7">
        <w:trPr>
          <w:gridAfter w:val="3"/>
          <w:wAfter w:w="2506" w:type="dxa"/>
          <w:trHeight w:val="315"/>
        </w:trPr>
        <w:tc>
          <w:tcPr>
            <w:tcW w:w="1364" w:type="dxa"/>
            <w:tcBorders>
              <w:top w:val="nil"/>
              <w:left w:val="nil"/>
              <w:bottom w:val="nil"/>
              <w:right w:val="nil"/>
            </w:tcBorders>
            <w:shd w:val="clear" w:color="auto" w:fill="auto"/>
            <w:noWrap/>
            <w:vAlign w:val="bottom"/>
            <w:hideMark/>
          </w:tcPr>
          <w:p w:rsidR="00D37725" w:rsidRDefault="00D37725" w:rsidP="003507F1">
            <w:pPr>
              <w:spacing w:after="0" w:line="360" w:lineRule="auto"/>
              <w:rPr>
                <w:rFonts w:ascii="Times New Roman" w:eastAsia="Times New Roman" w:hAnsi="Times New Roman" w:cs="Times New Roman"/>
                <w:color w:val="000000"/>
                <w:sz w:val="24"/>
                <w:szCs w:val="24"/>
              </w:rPr>
            </w:pPr>
          </w:p>
          <w:p w:rsidR="00817842" w:rsidRPr="00111B84" w:rsidRDefault="00817842"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1980" w:type="dxa"/>
            <w:tcBorders>
              <w:top w:val="single" w:sz="4" w:space="0" w:color="auto"/>
              <w:left w:val="nil"/>
              <w:bottom w:val="nil"/>
              <w:right w:val="nil"/>
            </w:tcBorders>
            <w:shd w:val="clear" w:color="auto" w:fill="auto"/>
            <w:noWrap/>
            <w:vAlign w:val="bottom"/>
            <w:hideMark/>
          </w:tcPr>
          <w:p w:rsidR="00817842" w:rsidRPr="00111B84" w:rsidRDefault="00817842"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13072.67</w:t>
            </w:r>
          </w:p>
        </w:tc>
        <w:tc>
          <w:tcPr>
            <w:tcW w:w="2070" w:type="dxa"/>
            <w:tcBorders>
              <w:top w:val="single" w:sz="4" w:space="0" w:color="auto"/>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c>
          <w:tcPr>
            <w:tcW w:w="3330" w:type="dxa"/>
            <w:tcBorders>
              <w:top w:val="single" w:sz="4" w:space="0" w:color="auto"/>
              <w:left w:val="nil"/>
              <w:bottom w:val="nil"/>
              <w:right w:val="nil"/>
            </w:tcBorders>
            <w:shd w:val="clear" w:color="auto" w:fill="auto"/>
            <w:noWrap/>
            <w:vAlign w:val="bottom"/>
            <w:hideMark/>
          </w:tcPr>
          <w:p w:rsidR="00817842" w:rsidRPr="00111B84" w:rsidRDefault="00817842" w:rsidP="003507F1">
            <w:pPr>
              <w:spacing w:after="0" w:line="360" w:lineRule="auto"/>
              <w:rPr>
                <w:rFonts w:ascii="Times New Roman" w:eastAsia="Times New Roman" w:hAnsi="Times New Roman" w:cs="Times New Roman"/>
                <w:color w:val="000000"/>
                <w:sz w:val="24"/>
                <w:szCs w:val="24"/>
              </w:rPr>
            </w:pPr>
          </w:p>
        </w:tc>
      </w:tr>
      <w:tr w:rsidR="00C40115" w:rsidRPr="00111B84" w:rsidTr="00C26AE7">
        <w:trPr>
          <w:gridAfter w:val="3"/>
          <w:wAfter w:w="2506" w:type="dxa"/>
          <w:trHeight w:val="315"/>
        </w:trPr>
        <w:tc>
          <w:tcPr>
            <w:tcW w:w="1364" w:type="dxa"/>
            <w:tcBorders>
              <w:top w:val="nil"/>
              <w:left w:val="nil"/>
              <w:bottom w:val="nil"/>
              <w:right w:val="nil"/>
            </w:tcBorders>
            <w:shd w:val="clear" w:color="auto" w:fill="auto"/>
            <w:noWrap/>
            <w:vAlign w:val="bottom"/>
            <w:hideMark/>
          </w:tcPr>
          <w:p w:rsidR="00C40115" w:rsidRPr="00111B84" w:rsidRDefault="00C40115"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1980" w:type="dxa"/>
            <w:tcBorders>
              <w:top w:val="nil"/>
              <w:left w:val="nil"/>
              <w:bottom w:val="nil"/>
              <w:right w:val="nil"/>
            </w:tcBorders>
            <w:shd w:val="clear" w:color="auto" w:fill="auto"/>
            <w:noWrap/>
            <w:vAlign w:val="bottom"/>
            <w:hideMark/>
          </w:tcPr>
          <w:p w:rsidR="00C40115" w:rsidRPr="00111B84" w:rsidRDefault="00C40115"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1514.37</w:t>
            </w:r>
          </w:p>
        </w:tc>
        <w:tc>
          <w:tcPr>
            <w:tcW w:w="2070" w:type="dxa"/>
            <w:tcBorders>
              <w:top w:val="nil"/>
              <w:left w:val="nil"/>
              <w:bottom w:val="nil"/>
              <w:right w:val="nil"/>
            </w:tcBorders>
            <w:shd w:val="clear" w:color="auto" w:fill="auto"/>
            <w:noWrap/>
            <w:vAlign w:val="bottom"/>
            <w:hideMark/>
          </w:tcPr>
          <w:p w:rsidR="00C40115" w:rsidRPr="00111B84" w:rsidRDefault="00C40115" w:rsidP="003507F1">
            <w:pPr>
              <w:spacing w:after="0" w:line="360" w:lineRule="auto"/>
              <w:rPr>
                <w:rFonts w:ascii="Times New Roman" w:eastAsia="Times New Roman" w:hAnsi="Times New Roman" w:cs="Times New Roman"/>
                <w:color w:val="000000"/>
                <w:sz w:val="24"/>
                <w:szCs w:val="24"/>
              </w:rPr>
            </w:pPr>
          </w:p>
        </w:tc>
        <w:tc>
          <w:tcPr>
            <w:tcW w:w="3330" w:type="dxa"/>
            <w:tcBorders>
              <w:top w:val="nil"/>
              <w:left w:val="nil"/>
              <w:bottom w:val="nil"/>
              <w:right w:val="nil"/>
            </w:tcBorders>
            <w:shd w:val="clear" w:color="auto" w:fill="auto"/>
            <w:noWrap/>
            <w:vAlign w:val="bottom"/>
            <w:hideMark/>
          </w:tcPr>
          <w:p w:rsidR="00C40115" w:rsidRPr="00111B84" w:rsidRDefault="00C40115" w:rsidP="003507F1">
            <w:pPr>
              <w:spacing w:after="0" w:line="360" w:lineRule="auto"/>
              <w:rPr>
                <w:rFonts w:ascii="Times New Roman" w:eastAsia="Times New Roman" w:hAnsi="Times New Roman" w:cs="Times New Roman"/>
                <w:color w:val="000000"/>
                <w:sz w:val="24"/>
                <w:szCs w:val="24"/>
              </w:rPr>
            </w:pPr>
          </w:p>
        </w:tc>
      </w:tr>
      <w:tr w:rsidR="005130C0" w:rsidRPr="00111B84" w:rsidTr="00C26AE7">
        <w:trPr>
          <w:trHeight w:val="315"/>
        </w:trPr>
        <w:tc>
          <w:tcPr>
            <w:tcW w:w="136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198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11.58</w:t>
            </w:r>
          </w:p>
        </w:tc>
        <w:tc>
          <w:tcPr>
            <w:tcW w:w="207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33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88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85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77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C26AE7">
        <w:trPr>
          <w:trHeight w:val="315"/>
        </w:trPr>
        <w:tc>
          <w:tcPr>
            <w:tcW w:w="136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198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301.05</w:t>
            </w:r>
          </w:p>
        </w:tc>
        <w:tc>
          <w:tcPr>
            <w:tcW w:w="207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333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88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85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773"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bl>
    <w:p w:rsidR="00C26AE7" w:rsidRDefault="00C26AE7"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4.6 shows that Investments Pattern of SCBNL for the period between 2064/65-2068/69. From the figures presented in the table, it has been observed that the Investments of SCBNL has fluctuating trend with the highest index 145.55% which is twofold greater  as compared to the figure in 2064/65 (base year).</w:t>
      </w:r>
    </w:p>
    <w:p w:rsidR="002243BE" w:rsidRPr="00111B84" w:rsidRDefault="002243BE" w:rsidP="00D25535">
      <w:pPr>
        <w:tabs>
          <w:tab w:val="left" w:pos="3208"/>
        </w:tabs>
        <w:spacing w:after="0" w:line="360" w:lineRule="auto"/>
        <w:jc w:val="both"/>
        <w:rPr>
          <w:rFonts w:ascii="Times New Roman" w:hAnsi="Times New Roman" w:cs="Times New Roman"/>
          <w:sz w:val="24"/>
          <w:szCs w:val="24"/>
        </w:rPr>
      </w:pPr>
    </w:p>
    <w:p w:rsidR="00D37725"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Investments was Rs 13072.67 with Coefficient of Variation of 11.58 percent. Investments grew at an average annual rate 301.05 percent. The highest increment (1579.64 percent) of Investments took place in the year 2067/68 and the lowest increment was found in the year 2068/69. Investments of this bank have been found to grow at an average annual rate of -25.03 percent.</w:t>
      </w:r>
      <w:r w:rsidR="00D37725" w:rsidRPr="00D37725">
        <w:rPr>
          <w:rFonts w:ascii="Times New Roman" w:eastAsia="Times New Roman" w:hAnsi="Times New Roman" w:cs="Times New Roman"/>
          <w:b/>
          <w:bCs/>
          <w:color w:val="000000"/>
          <w:sz w:val="24"/>
          <w:szCs w:val="24"/>
        </w:rPr>
        <w:t xml:space="preserve"> </w:t>
      </w:r>
    </w:p>
    <w:p w:rsidR="00D37725" w:rsidRDefault="00D37725" w:rsidP="00D25535">
      <w:pPr>
        <w:spacing w:after="0" w:line="360" w:lineRule="auto"/>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No.4.7</w:t>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Loans, Advances and Bills Purchased Pattern of SCB</w:t>
      </w:r>
      <w:r w:rsidR="00C40115">
        <w:rPr>
          <w:rFonts w:ascii="Times New Roman" w:eastAsia="Times New Roman" w:hAnsi="Times New Roman" w:cs="Times New Roman"/>
          <w:b/>
          <w:bCs/>
          <w:color w:val="000000"/>
          <w:sz w:val="24"/>
          <w:szCs w:val="24"/>
        </w:rPr>
        <w:t xml:space="preserve"> </w:t>
      </w:r>
      <w:r w:rsidRPr="00111B84">
        <w:rPr>
          <w:rFonts w:ascii="Times New Roman" w:eastAsia="Times New Roman" w:hAnsi="Times New Roman" w:cs="Times New Roman"/>
          <w:b/>
          <w:bCs/>
          <w:color w:val="000000"/>
          <w:sz w:val="24"/>
          <w:szCs w:val="24"/>
        </w:rPr>
        <w:t>Nepal Ltd. (Rs in millions)</w:t>
      </w:r>
    </w:p>
    <w:p w:rsidR="00C40115" w:rsidRPr="00111B84" w:rsidRDefault="00C40115" w:rsidP="003507F1">
      <w:pPr>
        <w:spacing w:after="0" w:line="360" w:lineRule="auto"/>
        <w:jc w:val="center"/>
        <w:rPr>
          <w:rFonts w:ascii="Times New Roman" w:eastAsia="Times New Roman" w:hAnsi="Times New Roman" w:cs="Times New Roman"/>
          <w:b/>
          <w:bCs/>
          <w:color w:val="000000"/>
          <w:sz w:val="24"/>
          <w:szCs w:val="24"/>
        </w:rPr>
      </w:pPr>
    </w:p>
    <w:tbl>
      <w:tblPr>
        <w:tblW w:w="15174" w:type="dxa"/>
        <w:tblInd w:w="94" w:type="dxa"/>
        <w:tblLook w:val="04A0" w:firstRow="1" w:lastRow="0" w:firstColumn="1" w:lastColumn="0" w:noHBand="0" w:noVBand="1"/>
      </w:tblPr>
      <w:tblGrid>
        <w:gridCol w:w="1454"/>
        <w:gridCol w:w="3060"/>
        <w:gridCol w:w="1710"/>
        <w:gridCol w:w="2790"/>
        <w:gridCol w:w="2220"/>
        <w:gridCol w:w="1060"/>
        <w:gridCol w:w="960"/>
        <w:gridCol w:w="960"/>
        <w:gridCol w:w="960"/>
      </w:tblGrid>
      <w:tr w:rsidR="005130C0" w:rsidRPr="00111B84" w:rsidTr="00C26AE7">
        <w:trPr>
          <w:trHeight w:val="782"/>
        </w:trPr>
        <w:tc>
          <w:tcPr>
            <w:tcW w:w="14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3060"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Loans, Advances and Bills Purchased (X)</w:t>
            </w:r>
          </w:p>
        </w:tc>
        <w:tc>
          <w:tcPr>
            <w:tcW w:w="1710" w:type="dxa"/>
            <w:tcBorders>
              <w:top w:val="single" w:sz="4" w:space="0" w:color="auto"/>
              <w:left w:val="nil"/>
              <w:bottom w:val="single" w:sz="4" w:space="0" w:color="auto"/>
              <w:right w:val="single" w:sz="4" w:space="0" w:color="auto"/>
            </w:tcBorders>
            <w:shd w:val="clear" w:color="auto" w:fill="auto"/>
            <w:noWrap/>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790" w:type="dxa"/>
            <w:tcBorders>
              <w:top w:val="single" w:sz="4" w:space="0" w:color="auto"/>
              <w:left w:val="nil"/>
              <w:bottom w:val="single" w:sz="4" w:space="0" w:color="auto"/>
              <w:right w:val="single" w:sz="4" w:space="0" w:color="auto"/>
            </w:tcBorders>
            <w:shd w:val="clear" w:color="auto" w:fill="auto"/>
            <w:vAlign w:val="center"/>
            <w:hideMark/>
          </w:tcPr>
          <w:p w:rsidR="005130C0" w:rsidRPr="00111B84" w:rsidRDefault="005130C0"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306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13718.60</w:t>
            </w:r>
          </w:p>
        </w:tc>
        <w:tc>
          <w:tcPr>
            <w:tcW w:w="171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306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13679.76</w:t>
            </w:r>
          </w:p>
        </w:tc>
        <w:tc>
          <w:tcPr>
            <w:tcW w:w="171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99.72</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-0.28</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306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1845.31</w:t>
            </w:r>
          </w:p>
        </w:tc>
        <w:tc>
          <w:tcPr>
            <w:tcW w:w="171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13.45</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-86.51</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306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18427.27</w:t>
            </w:r>
          </w:p>
        </w:tc>
        <w:tc>
          <w:tcPr>
            <w:tcW w:w="171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134.32</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898.60</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single" w:sz="4" w:space="0" w:color="auto"/>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306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19575.97</w:t>
            </w:r>
          </w:p>
        </w:tc>
        <w:tc>
          <w:tcPr>
            <w:tcW w:w="171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142.70</w:t>
            </w:r>
          </w:p>
        </w:tc>
        <w:tc>
          <w:tcPr>
            <w:tcW w:w="2790" w:type="dxa"/>
            <w:tcBorders>
              <w:top w:val="nil"/>
              <w:left w:val="nil"/>
              <w:bottom w:val="single" w:sz="4"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6.23</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30"/>
        </w:trPr>
        <w:tc>
          <w:tcPr>
            <w:tcW w:w="1454" w:type="dxa"/>
            <w:tcBorders>
              <w:top w:val="nil"/>
              <w:left w:val="single" w:sz="4" w:space="0" w:color="auto"/>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306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67246.90</w:t>
            </w:r>
          </w:p>
        </w:tc>
        <w:tc>
          <w:tcPr>
            <w:tcW w:w="171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790" w:type="dxa"/>
            <w:tcBorders>
              <w:top w:val="nil"/>
              <w:left w:val="nil"/>
              <w:bottom w:val="double" w:sz="6" w:space="0" w:color="auto"/>
              <w:right w:val="single" w:sz="4" w:space="0" w:color="auto"/>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818.04</w:t>
            </w: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nil"/>
              <w:bottom w:val="nil"/>
              <w:right w:val="nil"/>
            </w:tcBorders>
            <w:shd w:val="clear" w:color="auto" w:fill="auto"/>
            <w:noWrap/>
            <w:vAlign w:val="bottom"/>
            <w:hideMark/>
          </w:tcPr>
          <w:p w:rsidR="00DE74A6" w:rsidRDefault="00DE74A6" w:rsidP="003507F1">
            <w:pPr>
              <w:spacing w:after="0" w:line="360" w:lineRule="auto"/>
              <w:rPr>
                <w:rFonts w:ascii="Times New Roman" w:eastAsia="Times New Roman" w:hAnsi="Times New Roman" w:cs="Times New Roman"/>
                <w:color w:val="000000"/>
                <w:sz w:val="24"/>
                <w:szCs w:val="24"/>
              </w:rPr>
            </w:pPr>
          </w:p>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3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13449.38</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3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7019.52</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3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52.19</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r w:rsidR="005130C0" w:rsidRPr="00111B84" w:rsidTr="00E143DF">
        <w:trPr>
          <w:trHeight w:val="315"/>
        </w:trPr>
        <w:tc>
          <w:tcPr>
            <w:tcW w:w="1454"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3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163.61</w:t>
            </w:r>
          </w:p>
        </w:tc>
        <w:tc>
          <w:tcPr>
            <w:tcW w:w="171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222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10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5130C0" w:rsidRPr="00111B84" w:rsidRDefault="005130C0" w:rsidP="003507F1">
            <w:pPr>
              <w:spacing w:after="0" w:line="360" w:lineRule="auto"/>
              <w:rPr>
                <w:rFonts w:ascii="Times New Roman" w:eastAsia="Times New Roman" w:hAnsi="Times New Roman" w:cs="Times New Roman"/>
                <w:color w:val="000000"/>
                <w:sz w:val="24"/>
                <w:szCs w:val="24"/>
              </w:rPr>
            </w:pPr>
          </w:p>
        </w:tc>
      </w:tr>
    </w:tbl>
    <w:p w:rsidR="00DE74A6" w:rsidRPr="00DE74A6" w:rsidRDefault="00DE74A6" w:rsidP="00D25535">
      <w:pPr>
        <w:tabs>
          <w:tab w:val="left" w:pos="3208"/>
        </w:tabs>
        <w:spacing w:after="0" w:line="360" w:lineRule="auto"/>
        <w:jc w:val="both"/>
        <w:rPr>
          <w:rFonts w:ascii="Times New Roman" w:hAnsi="Times New Roman" w:cs="Times New Roman"/>
          <w:sz w:val="12"/>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4.7 shows that Loans, Advances and Bills Purchased Pattern of SCBNL for the period between 2064/65-2068/69. From the figures presented in the table, it has been observed that the Loans, Advances and Bills Purchased of SCBNL has fluctuating trend with the highest index 142.70% which is twofold greater  as compared to the figure in 2064/65 (base year).</w:t>
      </w:r>
    </w:p>
    <w:p w:rsidR="00654BA0" w:rsidRPr="00DE74A6" w:rsidRDefault="00654BA0" w:rsidP="00D25535">
      <w:pPr>
        <w:tabs>
          <w:tab w:val="left" w:pos="3208"/>
        </w:tabs>
        <w:spacing w:after="0" w:line="360" w:lineRule="auto"/>
        <w:jc w:val="both"/>
        <w:rPr>
          <w:rFonts w:ascii="Times New Roman" w:hAnsi="Times New Roman" w:cs="Times New Roman"/>
          <w:sz w:val="12"/>
          <w:szCs w:val="24"/>
        </w:rPr>
      </w:pPr>
    </w:p>
    <w:p w:rsidR="00D37725" w:rsidRDefault="005130C0" w:rsidP="00D2553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Loans, Advances and Bills Purchased were Rs 13449.38 with Coefficient of Variation of 52.19 percent. Loans, Advances and Bills Purchased grew at an average annual rate 163.61 percent. The highest increment (898.60 percent) of Loans, Advances and Purchased took place in the year 2067/68 and the lowest increment was found in the year 2065/66. Loans, Advances and Purchased of this bank have been found to grow at an average annual rate of 163.61 percent.</w:t>
      </w:r>
      <w:r w:rsidR="00D37725" w:rsidRPr="00D37725">
        <w:rPr>
          <w:rFonts w:ascii="Times New Roman" w:eastAsia="Times New Roman" w:hAnsi="Times New Roman" w:cs="Times New Roman"/>
          <w:b/>
          <w:bCs/>
          <w:color w:val="000000"/>
          <w:sz w:val="24"/>
          <w:szCs w:val="24"/>
        </w:rPr>
        <w:t xml:space="preserve"> </w:t>
      </w: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3507F1" w:rsidRDefault="003507F1" w:rsidP="00C40115">
      <w:pPr>
        <w:spacing w:after="0" w:line="240" w:lineRule="auto"/>
        <w:jc w:val="center"/>
        <w:rPr>
          <w:rFonts w:ascii="Times New Roman" w:eastAsia="Times New Roman" w:hAnsi="Times New Roman" w:cs="Times New Roman"/>
          <w:b/>
          <w:bCs/>
          <w:color w:val="000000"/>
          <w:sz w:val="24"/>
          <w:szCs w:val="24"/>
        </w:rPr>
      </w:pP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No.4.8</w:t>
      </w:r>
    </w:p>
    <w:p w:rsidR="00D37725" w:rsidRDefault="00D37725"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Fixed Assets Pattern of Standard Chartered Bank Nepal Ltd. (Rs in millions)</w:t>
      </w:r>
    </w:p>
    <w:p w:rsidR="00C26AE7" w:rsidRPr="00111B84" w:rsidRDefault="00C26AE7" w:rsidP="003507F1">
      <w:pPr>
        <w:spacing w:after="0" w:line="360" w:lineRule="auto"/>
        <w:jc w:val="center"/>
        <w:rPr>
          <w:rFonts w:ascii="Times New Roman" w:eastAsia="Times New Roman" w:hAnsi="Times New Roman" w:cs="Times New Roman"/>
          <w:b/>
          <w:bCs/>
          <w:color w:val="000000"/>
          <w:sz w:val="24"/>
          <w:szCs w:val="24"/>
        </w:rPr>
      </w:pPr>
    </w:p>
    <w:tbl>
      <w:tblPr>
        <w:tblW w:w="8654"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1800"/>
        <w:gridCol w:w="1800"/>
        <w:gridCol w:w="2790"/>
      </w:tblGrid>
      <w:tr w:rsidR="007645A7" w:rsidRPr="00111B84" w:rsidTr="00E143DF">
        <w:trPr>
          <w:trHeight w:val="710"/>
        </w:trPr>
        <w:tc>
          <w:tcPr>
            <w:tcW w:w="2264" w:type="dxa"/>
            <w:shd w:val="clear" w:color="auto" w:fill="auto"/>
            <w:noWrap/>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1800" w:type="dxa"/>
            <w:shd w:val="clear" w:color="auto" w:fill="auto"/>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Fixed Assets (X)</w:t>
            </w:r>
          </w:p>
        </w:tc>
        <w:tc>
          <w:tcPr>
            <w:tcW w:w="1800" w:type="dxa"/>
            <w:shd w:val="clear" w:color="auto" w:fill="auto"/>
            <w:noWrap/>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790" w:type="dxa"/>
            <w:shd w:val="clear" w:color="auto" w:fill="auto"/>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r>
      <w:tr w:rsidR="007645A7" w:rsidRPr="00111B84" w:rsidTr="00E143DF">
        <w:trPr>
          <w:trHeight w:val="315"/>
        </w:trPr>
        <w:tc>
          <w:tcPr>
            <w:tcW w:w="2264"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117.27</w:t>
            </w:r>
          </w:p>
        </w:tc>
        <w:tc>
          <w:tcPr>
            <w:tcW w:w="1800" w:type="dxa"/>
            <w:shd w:val="clear" w:color="auto" w:fill="auto"/>
            <w:noWrap/>
            <w:vAlign w:val="bottom"/>
            <w:hideMark/>
          </w:tcPr>
          <w:p w:rsidR="007645A7" w:rsidRPr="00111B84" w:rsidRDefault="007645A7"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790" w:type="dxa"/>
            <w:shd w:val="clear" w:color="auto" w:fill="auto"/>
            <w:noWrap/>
            <w:vAlign w:val="bottom"/>
            <w:hideMark/>
          </w:tcPr>
          <w:p w:rsidR="007645A7" w:rsidRPr="00111B84" w:rsidRDefault="007645A7"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r>
      <w:tr w:rsidR="007645A7" w:rsidRPr="00111B84" w:rsidTr="00E143DF">
        <w:trPr>
          <w:trHeight w:val="315"/>
        </w:trPr>
        <w:tc>
          <w:tcPr>
            <w:tcW w:w="2264"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137.29</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117.07</w:t>
            </w:r>
          </w:p>
        </w:tc>
        <w:tc>
          <w:tcPr>
            <w:tcW w:w="279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17.07</w:t>
            </w:r>
          </w:p>
        </w:tc>
      </w:tr>
      <w:tr w:rsidR="007645A7" w:rsidRPr="00111B84" w:rsidTr="00E143DF">
        <w:trPr>
          <w:trHeight w:val="315"/>
        </w:trPr>
        <w:tc>
          <w:tcPr>
            <w:tcW w:w="2264"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1.93</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1.65</w:t>
            </w:r>
          </w:p>
        </w:tc>
        <w:tc>
          <w:tcPr>
            <w:tcW w:w="279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-98.59</w:t>
            </w:r>
          </w:p>
        </w:tc>
      </w:tr>
      <w:tr w:rsidR="007645A7" w:rsidRPr="00111B84" w:rsidTr="00E143DF">
        <w:trPr>
          <w:trHeight w:val="315"/>
        </w:trPr>
        <w:tc>
          <w:tcPr>
            <w:tcW w:w="2264"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106.07</w:t>
            </w:r>
          </w:p>
        </w:tc>
        <w:tc>
          <w:tcPr>
            <w:tcW w:w="1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90.45</w:t>
            </w:r>
          </w:p>
        </w:tc>
        <w:tc>
          <w:tcPr>
            <w:tcW w:w="279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5386.68</w:t>
            </w:r>
          </w:p>
        </w:tc>
      </w:tr>
      <w:tr w:rsidR="007645A7" w:rsidRPr="00111B84" w:rsidTr="00E143DF">
        <w:trPr>
          <w:trHeight w:val="315"/>
        </w:trPr>
        <w:tc>
          <w:tcPr>
            <w:tcW w:w="2264"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180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89.63</w:t>
            </w:r>
          </w:p>
        </w:tc>
        <w:tc>
          <w:tcPr>
            <w:tcW w:w="180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76.43</w:t>
            </w:r>
          </w:p>
        </w:tc>
        <w:tc>
          <w:tcPr>
            <w:tcW w:w="279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-15.50</w:t>
            </w:r>
          </w:p>
        </w:tc>
      </w:tr>
      <w:tr w:rsidR="007645A7" w:rsidRPr="00111B84" w:rsidTr="00E143DF">
        <w:trPr>
          <w:trHeight w:val="330"/>
        </w:trPr>
        <w:tc>
          <w:tcPr>
            <w:tcW w:w="2264"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180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452.20</w:t>
            </w:r>
          </w:p>
        </w:tc>
        <w:tc>
          <w:tcPr>
            <w:tcW w:w="1800"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79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5289.66</w:t>
            </w:r>
          </w:p>
        </w:tc>
      </w:tr>
      <w:tr w:rsidR="007645A7" w:rsidRPr="00111B84" w:rsidTr="00E143DF">
        <w:trPr>
          <w:trHeight w:val="330"/>
        </w:trPr>
        <w:tc>
          <w:tcPr>
            <w:tcW w:w="2264"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1800"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1800"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2790"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r>
      <w:tr w:rsidR="007645A7" w:rsidRPr="00111B84" w:rsidTr="00E143DF">
        <w:trPr>
          <w:trHeight w:val="315"/>
        </w:trPr>
        <w:tc>
          <w:tcPr>
            <w:tcW w:w="2264"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90.44</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E143DF">
        <w:trPr>
          <w:trHeight w:val="315"/>
        </w:trPr>
        <w:tc>
          <w:tcPr>
            <w:tcW w:w="2264"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52.43</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E143DF">
        <w:trPr>
          <w:trHeight w:val="315"/>
        </w:trPr>
        <w:tc>
          <w:tcPr>
            <w:tcW w:w="2264"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57.97</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E143DF">
        <w:trPr>
          <w:trHeight w:val="315"/>
        </w:trPr>
        <w:tc>
          <w:tcPr>
            <w:tcW w:w="2264"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1057.93</w:t>
            </w:r>
          </w:p>
        </w:tc>
        <w:tc>
          <w:tcPr>
            <w:tcW w:w="1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79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bl>
    <w:p w:rsidR="00C26AE7" w:rsidRDefault="00C26AE7"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4.8 shows that Fixed Assets Pattern of SCBNL for the period between 2064/65-2068/69. From the figures presented in the table, it has been observed that the Fixed Assets of SCBNL has fluctuating trend with the highest index 117.07% which is slightly  greater  as compared to the figure in 2064/65 (base year).</w:t>
      </w:r>
    </w:p>
    <w:p w:rsidR="00C40115" w:rsidRPr="00111B84" w:rsidRDefault="00C40115" w:rsidP="00D25535">
      <w:pPr>
        <w:tabs>
          <w:tab w:val="left" w:pos="3208"/>
        </w:tabs>
        <w:spacing w:after="0" w:line="360" w:lineRule="auto"/>
        <w:jc w:val="both"/>
        <w:rPr>
          <w:rFonts w:ascii="Times New Roman" w:hAnsi="Times New Roman" w:cs="Times New Roman"/>
          <w:sz w:val="24"/>
          <w:szCs w:val="24"/>
        </w:rPr>
      </w:pPr>
    </w:p>
    <w:p w:rsidR="007645A7" w:rsidRDefault="005130C0" w:rsidP="00C40115">
      <w:pPr>
        <w:spacing w:after="0" w:line="360" w:lineRule="auto"/>
        <w:jc w:val="both"/>
        <w:rPr>
          <w:rFonts w:ascii="Times New Roman" w:eastAsia="Times New Roman" w:hAnsi="Times New Roman" w:cs="Times New Roman"/>
          <w:b/>
          <w:bCs/>
          <w:color w:val="000000"/>
          <w:sz w:val="24"/>
          <w:szCs w:val="24"/>
        </w:rPr>
      </w:pPr>
      <w:r w:rsidRPr="00111B84">
        <w:rPr>
          <w:rFonts w:ascii="Times New Roman" w:hAnsi="Times New Roman" w:cs="Times New Roman"/>
          <w:sz w:val="24"/>
          <w:szCs w:val="24"/>
        </w:rPr>
        <w:t>During this period, average Fixed Assets was Rs 90.44 with Coefficient of Variation of 57.97 percent. Fixed Assets grew at an average annual rate 1057.93 percent. The highest increment (5386.68 percent) of Fixed Assets took place in the year 2067/68 and the lowest increment was found in the year 2068/69. Fixed Assets of this bank has been found to grow at an average annual rate of -15.50 percent.</w:t>
      </w:r>
      <w:r w:rsidR="007645A7" w:rsidRPr="007645A7">
        <w:rPr>
          <w:rFonts w:ascii="Times New Roman" w:eastAsia="Times New Roman" w:hAnsi="Times New Roman" w:cs="Times New Roman"/>
          <w:b/>
          <w:bCs/>
          <w:color w:val="000000"/>
          <w:sz w:val="24"/>
          <w:szCs w:val="24"/>
        </w:rPr>
        <w:t xml:space="preserve"> </w:t>
      </w:r>
    </w:p>
    <w:p w:rsidR="007645A7" w:rsidRDefault="007645A7" w:rsidP="00D25535">
      <w:pPr>
        <w:spacing w:after="0" w:line="360" w:lineRule="auto"/>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3507F1" w:rsidRDefault="003507F1" w:rsidP="00D25535">
      <w:pPr>
        <w:spacing w:after="0" w:line="360" w:lineRule="auto"/>
        <w:jc w:val="center"/>
        <w:rPr>
          <w:rFonts w:ascii="Times New Roman" w:eastAsia="Times New Roman" w:hAnsi="Times New Roman" w:cs="Times New Roman"/>
          <w:b/>
          <w:bCs/>
          <w:color w:val="000000"/>
          <w:sz w:val="24"/>
          <w:szCs w:val="24"/>
        </w:rPr>
      </w:pPr>
    </w:p>
    <w:p w:rsidR="007645A7"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lastRenderedPageBreak/>
        <w:t>Table No.4.9</w:t>
      </w:r>
    </w:p>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Others Assets Pattern of Standard Chartered Bank Nepal Ltd. (Rs in millions)</w:t>
      </w:r>
    </w:p>
    <w:tbl>
      <w:tblPr>
        <w:tblW w:w="8870"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1"/>
        <w:gridCol w:w="2071"/>
        <w:gridCol w:w="2508"/>
        <w:gridCol w:w="2800"/>
      </w:tblGrid>
      <w:tr w:rsidR="007645A7" w:rsidRPr="00111B84" w:rsidTr="007645A7">
        <w:trPr>
          <w:trHeight w:val="800"/>
        </w:trPr>
        <w:tc>
          <w:tcPr>
            <w:tcW w:w="1491" w:type="dxa"/>
            <w:shd w:val="clear" w:color="auto" w:fill="auto"/>
            <w:noWrap/>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Year</w:t>
            </w:r>
          </w:p>
        </w:tc>
        <w:tc>
          <w:tcPr>
            <w:tcW w:w="2071" w:type="dxa"/>
            <w:shd w:val="clear" w:color="auto" w:fill="auto"/>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Others Assets (X)</w:t>
            </w:r>
          </w:p>
        </w:tc>
        <w:tc>
          <w:tcPr>
            <w:tcW w:w="2508" w:type="dxa"/>
            <w:shd w:val="clear" w:color="auto" w:fill="auto"/>
            <w:noWrap/>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Index</w:t>
            </w:r>
          </w:p>
        </w:tc>
        <w:tc>
          <w:tcPr>
            <w:tcW w:w="2800" w:type="dxa"/>
            <w:shd w:val="clear" w:color="auto" w:fill="auto"/>
            <w:vAlign w:val="center"/>
            <w:hideMark/>
          </w:tcPr>
          <w:p w:rsidR="007645A7" w:rsidRPr="00111B84" w:rsidRDefault="007645A7" w:rsidP="003507F1">
            <w:pPr>
              <w:spacing w:after="0" w:line="360" w:lineRule="auto"/>
              <w:jc w:val="center"/>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Annual Rate Percentage Change (ARPC)</w:t>
            </w:r>
          </w:p>
        </w:tc>
      </w:tr>
      <w:tr w:rsidR="007645A7" w:rsidRPr="00111B84" w:rsidTr="007645A7">
        <w:trPr>
          <w:trHeight w:val="315"/>
        </w:trPr>
        <w:tc>
          <w:tcPr>
            <w:tcW w:w="1491"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2064/65</w:t>
            </w:r>
          </w:p>
        </w:tc>
        <w:tc>
          <w:tcPr>
            <w:tcW w:w="2071"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1349.32</w:t>
            </w:r>
          </w:p>
        </w:tc>
        <w:tc>
          <w:tcPr>
            <w:tcW w:w="2508" w:type="dxa"/>
            <w:shd w:val="clear" w:color="auto" w:fill="auto"/>
            <w:noWrap/>
            <w:vAlign w:val="bottom"/>
            <w:hideMark/>
          </w:tcPr>
          <w:p w:rsidR="007645A7" w:rsidRPr="00111B84" w:rsidRDefault="007645A7" w:rsidP="003507F1">
            <w:pPr>
              <w:spacing w:after="0" w:line="360" w:lineRule="auto"/>
              <w:jc w:val="center"/>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 </w:t>
            </w:r>
          </w:p>
        </w:tc>
        <w:tc>
          <w:tcPr>
            <w:tcW w:w="2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w:t>
            </w:r>
          </w:p>
        </w:tc>
      </w:tr>
      <w:tr w:rsidR="007645A7" w:rsidRPr="00111B84" w:rsidTr="007645A7">
        <w:trPr>
          <w:trHeight w:val="315"/>
        </w:trPr>
        <w:tc>
          <w:tcPr>
            <w:tcW w:w="1491"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2065/66</w:t>
            </w:r>
          </w:p>
        </w:tc>
        <w:tc>
          <w:tcPr>
            <w:tcW w:w="2071"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1341.52</w:t>
            </w:r>
          </w:p>
        </w:tc>
        <w:tc>
          <w:tcPr>
            <w:tcW w:w="2508"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99.42</w:t>
            </w:r>
          </w:p>
        </w:tc>
        <w:tc>
          <w:tcPr>
            <w:tcW w:w="2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-0.58</w:t>
            </w:r>
          </w:p>
        </w:tc>
      </w:tr>
      <w:tr w:rsidR="007645A7" w:rsidRPr="00111B84" w:rsidTr="007645A7">
        <w:trPr>
          <w:trHeight w:val="315"/>
        </w:trPr>
        <w:tc>
          <w:tcPr>
            <w:tcW w:w="1491"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2066/67</w:t>
            </w:r>
          </w:p>
        </w:tc>
        <w:tc>
          <w:tcPr>
            <w:tcW w:w="2071"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63.75</w:t>
            </w:r>
          </w:p>
        </w:tc>
        <w:tc>
          <w:tcPr>
            <w:tcW w:w="2508"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4.72</w:t>
            </w:r>
          </w:p>
        </w:tc>
        <w:tc>
          <w:tcPr>
            <w:tcW w:w="2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-95.25</w:t>
            </w:r>
          </w:p>
        </w:tc>
      </w:tr>
      <w:tr w:rsidR="007645A7" w:rsidRPr="00111B84" w:rsidTr="007645A7">
        <w:trPr>
          <w:trHeight w:val="315"/>
        </w:trPr>
        <w:tc>
          <w:tcPr>
            <w:tcW w:w="1491" w:type="dxa"/>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2067/68</w:t>
            </w:r>
          </w:p>
        </w:tc>
        <w:tc>
          <w:tcPr>
            <w:tcW w:w="2071"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761.81</w:t>
            </w:r>
          </w:p>
        </w:tc>
        <w:tc>
          <w:tcPr>
            <w:tcW w:w="2508"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56.46</w:t>
            </w:r>
          </w:p>
        </w:tc>
        <w:tc>
          <w:tcPr>
            <w:tcW w:w="2800" w:type="dxa"/>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1095.01</w:t>
            </w:r>
          </w:p>
        </w:tc>
      </w:tr>
      <w:tr w:rsidR="007645A7" w:rsidRPr="00111B84" w:rsidTr="007645A7">
        <w:trPr>
          <w:trHeight w:val="300"/>
        </w:trPr>
        <w:tc>
          <w:tcPr>
            <w:tcW w:w="1491"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2068/69</w:t>
            </w:r>
          </w:p>
        </w:tc>
        <w:tc>
          <w:tcPr>
            <w:tcW w:w="2071"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580.97</w:t>
            </w:r>
          </w:p>
        </w:tc>
        <w:tc>
          <w:tcPr>
            <w:tcW w:w="2508"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43.06</w:t>
            </w:r>
          </w:p>
        </w:tc>
        <w:tc>
          <w:tcPr>
            <w:tcW w:w="280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-23.74</w:t>
            </w:r>
          </w:p>
        </w:tc>
      </w:tr>
      <w:tr w:rsidR="007645A7" w:rsidRPr="00111B84" w:rsidTr="007645A7">
        <w:trPr>
          <w:trHeight w:val="330"/>
        </w:trPr>
        <w:tc>
          <w:tcPr>
            <w:tcW w:w="1491"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Total</w:t>
            </w:r>
          </w:p>
        </w:tc>
        <w:tc>
          <w:tcPr>
            <w:tcW w:w="2071"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4097.37</w:t>
            </w:r>
          </w:p>
        </w:tc>
        <w:tc>
          <w:tcPr>
            <w:tcW w:w="2508" w:type="dxa"/>
            <w:tcBorders>
              <w:bottom w:val="single" w:sz="4" w:space="0" w:color="auto"/>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 </w:t>
            </w:r>
          </w:p>
        </w:tc>
        <w:tc>
          <w:tcPr>
            <w:tcW w:w="2800" w:type="dxa"/>
            <w:tcBorders>
              <w:bottom w:val="single" w:sz="4" w:space="0" w:color="auto"/>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b/>
                <w:bCs/>
                <w:color w:val="000000"/>
                <w:sz w:val="24"/>
                <w:szCs w:val="24"/>
              </w:rPr>
            </w:pPr>
            <w:r w:rsidRPr="00111B84">
              <w:rPr>
                <w:rFonts w:ascii="Times New Roman" w:eastAsia="Times New Roman" w:hAnsi="Times New Roman" w:cs="Times New Roman"/>
                <w:b/>
                <w:bCs/>
                <w:color w:val="000000"/>
                <w:sz w:val="24"/>
                <w:szCs w:val="24"/>
              </w:rPr>
              <w:t>975.45</w:t>
            </w:r>
          </w:p>
        </w:tc>
      </w:tr>
      <w:tr w:rsidR="007645A7" w:rsidRPr="00111B84" w:rsidTr="007645A7">
        <w:trPr>
          <w:trHeight w:val="330"/>
        </w:trPr>
        <w:tc>
          <w:tcPr>
            <w:tcW w:w="1491"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2071"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2508"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c>
          <w:tcPr>
            <w:tcW w:w="2800" w:type="dxa"/>
            <w:tcBorders>
              <w:top w:val="single" w:sz="4" w:space="0" w:color="auto"/>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b/>
                <w:bCs/>
                <w:color w:val="000000"/>
                <w:sz w:val="24"/>
                <w:szCs w:val="24"/>
              </w:rPr>
            </w:pPr>
          </w:p>
        </w:tc>
      </w:tr>
      <w:tr w:rsidR="007645A7" w:rsidRPr="00111B84" w:rsidTr="007645A7">
        <w:trPr>
          <w:trHeight w:val="315"/>
        </w:trPr>
        <w:tc>
          <w:tcPr>
            <w:tcW w:w="149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MEAN (X')</w:t>
            </w:r>
          </w:p>
        </w:tc>
        <w:tc>
          <w:tcPr>
            <w:tcW w:w="207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819.47</w:t>
            </w:r>
          </w:p>
        </w:tc>
        <w:tc>
          <w:tcPr>
            <w:tcW w:w="2508"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7645A7">
        <w:trPr>
          <w:trHeight w:val="315"/>
        </w:trPr>
        <w:tc>
          <w:tcPr>
            <w:tcW w:w="149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SD</w:t>
            </w:r>
          </w:p>
        </w:tc>
        <w:tc>
          <w:tcPr>
            <w:tcW w:w="207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544.19</w:t>
            </w:r>
          </w:p>
        </w:tc>
        <w:tc>
          <w:tcPr>
            <w:tcW w:w="2508"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7645A7">
        <w:trPr>
          <w:trHeight w:val="15"/>
        </w:trPr>
        <w:tc>
          <w:tcPr>
            <w:tcW w:w="149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CV</w:t>
            </w:r>
          </w:p>
        </w:tc>
        <w:tc>
          <w:tcPr>
            <w:tcW w:w="207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66.41</w:t>
            </w:r>
          </w:p>
        </w:tc>
        <w:tc>
          <w:tcPr>
            <w:tcW w:w="2508"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r w:rsidR="007645A7" w:rsidRPr="00111B84" w:rsidTr="007645A7">
        <w:trPr>
          <w:trHeight w:val="315"/>
        </w:trPr>
        <w:tc>
          <w:tcPr>
            <w:tcW w:w="149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GR</w:t>
            </w:r>
          </w:p>
        </w:tc>
        <w:tc>
          <w:tcPr>
            <w:tcW w:w="2071"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jc w:val="right"/>
              <w:rPr>
                <w:rFonts w:ascii="Times New Roman" w:eastAsia="Times New Roman" w:hAnsi="Times New Roman" w:cs="Times New Roman"/>
                <w:color w:val="000000"/>
                <w:sz w:val="24"/>
                <w:szCs w:val="24"/>
              </w:rPr>
            </w:pPr>
            <w:r w:rsidRPr="00111B84">
              <w:rPr>
                <w:rFonts w:ascii="Times New Roman" w:eastAsia="Times New Roman" w:hAnsi="Times New Roman" w:cs="Times New Roman"/>
                <w:color w:val="000000"/>
                <w:sz w:val="24"/>
                <w:szCs w:val="24"/>
              </w:rPr>
              <w:t>195.09</w:t>
            </w:r>
          </w:p>
        </w:tc>
        <w:tc>
          <w:tcPr>
            <w:tcW w:w="2508"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c>
          <w:tcPr>
            <w:tcW w:w="2800" w:type="dxa"/>
            <w:tcBorders>
              <w:top w:val="nil"/>
              <w:left w:val="nil"/>
              <w:bottom w:val="nil"/>
              <w:right w:val="nil"/>
            </w:tcBorders>
            <w:shd w:val="clear" w:color="auto" w:fill="auto"/>
            <w:noWrap/>
            <w:vAlign w:val="bottom"/>
            <w:hideMark/>
          </w:tcPr>
          <w:p w:rsidR="007645A7" w:rsidRPr="00111B84" w:rsidRDefault="007645A7" w:rsidP="003507F1">
            <w:pPr>
              <w:spacing w:after="0" w:line="360" w:lineRule="auto"/>
              <w:rPr>
                <w:rFonts w:ascii="Times New Roman" w:eastAsia="Times New Roman" w:hAnsi="Times New Roman" w:cs="Times New Roman"/>
                <w:color w:val="000000"/>
                <w:sz w:val="24"/>
                <w:szCs w:val="24"/>
              </w:rPr>
            </w:pPr>
          </w:p>
        </w:tc>
      </w:tr>
    </w:tbl>
    <w:p w:rsidR="005130C0" w:rsidRPr="00111B84" w:rsidRDefault="005130C0" w:rsidP="00D25535">
      <w:pPr>
        <w:tabs>
          <w:tab w:val="left" w:pos="3208"/>
        </w:tabs>
        <w:spacing w:after="0" w:line="360" w:lineRule="auto"/>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4.9 shows that Others Assets Pattern of SCBNL for the period between 2064/65-2068/69. From the figures presented in the table, it has been observed that the Others Assets of SCBNL has fluctuating trend with the highest index99.42 % which is slightly lower is compared to the figure in 2064/65 (base year).</w:t>
      </w:r>
    </w:p>
    <w:p w:rsidR="00C40115" w:rsidRPr="00111B84" w:rsidRDefault="00C40115" w:rsidP="00D25535">
      <w:pPr>
        <w:tabs>
          <w:tab w:val="left" w:pos="3208"/>
        </w:tabs>
        <w:spacing w:after="0" w:line="360" w:lineRule="auto"/>
        <w:jc w:val="both"/>
        <w:rPr>
          <w:rFonts w:ascii="Times New Roman" w:hAnsi="Times New Roman" w:cs="Times New Roman"/>
          <w:sz w:val="24"/>
          <w:szCs w:val="24"/>
        </w:rPr>
      </w:pPr>
    </w:p>
    <w:p w:rsidR="007645A7" w:rsidRDefault="005130C0" w:rsidP="00D25535">
      <w:pPr>
        <w:tabs>
          <w:tab w:val="left" w:pos="3208"/>
        </w:tabs>
        <w:spacing w:after="0" w:line="360" w:lineRule="auto"/>
        <w:jc w:val="both"/>
        <w:rPr>
          <w:rFonts w:ascii="Times New Roman" w:hAnsi="Times New Roman" w:cs="Times New Roman"/>
          <w:b/>
          <w:sz w:val="24"/>
          <w:szCs w:val="24"/>
        </w:rPr>
      </w:pPr>
      <w:r w:rsidRPr="00111B84">
        <w:rPr>
          <w:rFonts w:ascii="Times New Roman" w:hAnsi="Times New Roman" w:cs="Times New Roman"/>
          <w:sz w:val="24"/>
          <w:szCs w:val="24"/>
        </w:rPr>
        <w:t>During this period, average Others Assets was Rs 819.47 with Coefficient of Variation of 66.41 percent. Others Assets grew at an average annual rate 195.09 percent. The highest increment (1095.01 percent) of Others Assets took place in the year 2067/68 and the lowest increment was found in the year 2065/66. Others Fixed of this bank has been found to grow at an average annual rate of 195.09 percent.</w:t>
      </w:r>
      <w:r w:rsidR="007645A7" w:rsidRPr="007645A7">
        <w:rPr>
          <w:rFonts w:ascii="Times New Roman" w:hAnsi="Times New Roman" w:cs="Times New Roman"/>
          <w:b/>
          <w:sz w:val="24"/>
          <w:szCs w:val="24"/>
        </w:rPr>
        <w:t xml:space="preserve"> </w:t>
      </w:r>
    </w:p>
    <w:p w:rsidR="007645A7" w:rsidRDefault="007645A7" w:rsidP="00D25535">
      <w:pPr>
        <w:tabs>
          <w:tab w:val="left" w:pos="3208"/>
        </w:tabs>
        <w:spacing w:after="0" w:line="36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3507F1" w:rsidRDefault="003507F1" w:rsidP="00C40115">
      <w:pPr>
        <w:tabs>
          <w:tab w:val="left" w:pos="3208"/>
        </w:tabs>
        <w:spacing w:after="0" w:line="240" w:lineRule="auto"/>
        <w:jc w:val="center"/>
        <w:rPr>
          <w:rFonts w:ascii="Times New Roman" w:hAnsi="Times New Roman" w:cs="Times New Roman"/>
          <w:b/>
          <w:sz w:val="24"/>
          <w:szCs w:val="24"/>
        </w:rPr>
      </w:pPr>
    </w:p>
    <w:p w:rsidR="007645A7" w:rsidRDefault="007645A7" w:rsidP="003507F1">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lastRenderedPageBreak/>
        <w:t>Table No 4.10</w:t>
      </w:r>
      <w:r w:rsidRPr="007645A7">
        <w:rPr>
          <w:rFonts w:ascii="Times New Roman" w:hAnsi="Times New Roman" w:cs="Times New Roman"/>
          <w:b/>
          <w:sz w:val="24"/>
          <w:szCs w:val="24"/>
        </w:rPr>
        <w:t xml:space="preserve"> </w:t>
      </w:r>
    </w:p>
    <w:p w:rsidR="007645A7" w:rsidRPr="00111B84" w:rsidRDefault="007645A7" w:rsidP="003507F1">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Share Ownership Composition</w:t>
      </w:r>
    </w:p>
    <w:p w:rsidR="005130C0" w:rsidRPr="00111B84" w:rsidRDefault="005130C0" w:rsidP="003507F1">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 xml:space="preserve">                                            </w:t>
      </w:r>
    </w:p>
    <w:tbl>
      <w:tblPr>
        <w:tblW w:w="92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60"/>
        <w:gridCol w:w="1530"/>
        <w:gridCol w:w="1530"/>
        <w:gridCol w:w="1080"/>
        <w:gridCol w:w="990"/>
        <w:gridCol w:w="1080"/>
      </w:tblGrid>
      <w:tr w:rsidR="005130C0" w:rsidRPr="00111B84" w:rsidTr="00C40115">
        <w:trPr>
          <w:trHeight w:val="413"/>
        </w:trPr>
        <w:tc>
          <w:tcPr>
            <w:tcW w:w="3060" w:type="dxa"/>
          </w:tcPr>
          <w:p w:rsidR="005130C0" w:rsidRPr="00C40115" w:rsidRDefault="005130C0" w:rsidP="003507F1">
            <w:pPr>
              <w:tabs>
                <w:tab w:val="left" w:pos="3208"/>
              </w:tabs>
              <w:spacing w:after="0" w:line="360" w:lineRule="auto"/>
              <w:jc w:val="center"/>
              <w:rPr>
                <w:rFonts w:ascii="Times New Roman" w:hAnsi="Times New Roman" w:cs="Times New Roman"/>
                <w:b/>
              </w:rPr>
            </w:pPr>
            <w:r w:rsidRPr="00C40115">
              <w:rPr>
                <w:rFonts w:ascii="Times New Roman" w:hAnsi="Times New Roman" w:cs="Times New Roman"/>
                <w:b/>
              </w:rPr>
              <w:t>Composition</w:t>
            </w:r>
          </w:p>
        </w:tc>
        <w:tc>
          <w:tcPr>
            <w:tcW w:w="1530" w:type="dxa"/>
            <w:shd w:val="clear" w:color="auto" w:fill="auto"/>
          </w:tcPr>
          <w:p w:rsidR="005130C0" w:rsidRPr="00C40115" w:rsidRDefault="005130C0" w:rsidP="003507F1">
            <w:pPr>
              <w:spacing w:after="0" w:line="360" w:lineRule="auto"/>
              <w:jc w:val="center"/>
              <w:rPr>
                <w:rFonts w:ascii="Times New Roman" w:hAnsi="Times New Roman" w:cs="Times New Roman"/>
                <w:b/>
              </w:rPr>
            </w:pPr>
            <w:r w:rsidRPr="00C40115">
              <w:rPr>
                <w:rFonts w:ascii="Times New Roman" w:hAnsi="Times New Roman" w:cs="Times New Roman"/>
                <w:b/>
              </w:rPr>
              <w:t>2064/65</w:t>
            </w:r>
          </w:p>
        </w:tc>
        <w:tc>
          <w:tcPr>
            <w:tcW w:w="1530" w:type="dxa"/>
            <w:shd w:val="clear" w:color="auto" w:fill="auto"/>
          </w:tcPr>
          <w:p w:rsidR="005130C0" w:rsidRPr="00C40115" w:rsidRDefault="005130C0" w:rsidP="003507F1">
            <w:pPr>
              <w:spacing w:after="0" w:line="360" w:lineRule="auto"/>
              <w:jc w:val="center"/>
              <w:rPr>
                <w:rFonts w:ascii="Times New Roman" w:hAnsi="Times New Roman" w:cs="Times New Roman"/>
                <w:b/>
              </w:rPr>
            </w:pPr>
            <w:r w:rsidRPr="00C40115">
              <w:rPr>
                <w:rFonts w:ascii="Times New Roman" w:hAnsi="Times New Roman" w:cs="Times New Roman"/>
                <w:b/>
              </w:rPr>
              <w:t>2065/66</w:t>
            </w:r>
          </w:p>
        </w:tc>
        <w:tc>
          <w:tcPr>
            <w:tcW w:w="1080" w:type="dxa"/>
            <w:shd w:val="clear" w:color="auto" w:fill="auto"/>
          </w:tcPr>
          <w:p w:rsidR="005130C0" w:rsidRPr="00C40115" w:rsidRDefault="005130C0" w:rsidP="003507F1">
            <w:pPr>
              <w:spacing w:after="0" w:line="360" w:lineRule="auto"/>
              <w:jc w:val="center"/>
              <w:rPr>
                <w:rFonts w:ascii="Times New Roman" w:hAnsi="Times New Roman" w:cs="Times New Roman"/>
                <w:b/>
              </w:rPr>
            </w:pPr>
            <w:r w:rsidRPr="00C40115">
              <w:rPr>
                <w:rFonts w:ascii="Times New Roman" w:hAnsi="Times New Roman" w:cs="Times New Roman"/>
                <w:b/>
              </w:rPr>
              <w:t>2066/67</w:t>
            </w:r>
          </w:p>
        </w:tc>
        <w:tc>
          <w:tcPr>
            <w:tcW w:w="990" w:type="dxa"/>
            <w:shd w:val="clear" w:color="auto" w:fill="auto"/>
          </w:tcPr>
          <w:p w:rsidR="005130C0" w:rsidRPr="00C40115" w:rsidRDefault="005130C0" w:rsidP="003507F1">
            <w:pPr>
              <w:spacing w:after="0" w:line="360" w:lineRule="auto"/>
              <w:jc w:val="center"/>
              <w:rPr>
                <w:rFonts w:ascii="Times New Roman" w:hAnsi="Times New Roman" w:cs="Times New Roman"/>
                <w:b/>
              </w:rPr>
            </w:pPr>
            <w:r w:rsidRPr="00C40115">
              <w:rPr>
                <w:rFonts w:ascii="Times New Roman" w:hAnsi="Times New Roman" w:cs="Times New Roman"/>
                <w:b/>
              </w:rPr>
              <w:t>2067/68</w:t>
            </w:r>
          </w:p>
        </w:tc>
        <w:tc>
          <w:tcPr>
            <w:tcW w:w="1080" w:type="dxa"/>
            <w:shd w:val="clear" w:color="auto" w:fill="auto"/>
          </w:tcPr>
          <w:p w:rsidR="005130C0" w:rsidRPr="00C40115" w:rsidRDefault="005130C0" w:rsidP="003507F1">
            <w:pPr>
              <w:spacing w:after="0" w:line="360" w:lineRule="auto"/>
              <w:jc w:val="center"/>
              <w:rPr>
                <w:rFonts w:ascii="Times New Roman" w:hAnsi="Times New Roman" w:cs="Times New Roman"/>
                <w:b/>
              </w:rPr>
            </w:pPr>
            <w:r w:rsidRPr="00C40115">
              <w:rPr>
                <w:rFonts w:ascii="Times New Roman" w:hAnsi="Times New Roman" w:cs="Times New Roman"/>
                <w:b/>
              </w:rPr>
              <w:t>2068/69</w:t>
            </w:r>
          </w:p>
        </w:tc>
      </w:tr>
      <w:tr w:rsidR="005130C0" w:rsidRPr="00111B84" w:rsidTr="00C40115">
        <w:trPr>
          <w:trHeight w:val="377"/>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Government of Nepal</w:t>
            </w:r>
          </w:p>
        </w:tc>
        <w:tc>
          <w:tcPr>
            <w:tcW w:w="1530" w:type="dxa"/>
            <w:tcBorders>
              <w:bottom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r>
      <w:tr w:rsidR="005130C0" w:rsidRPr="00111B84" w:rsidTr="00C40115">
        <w:trPr>
          <w:trHeight w:val="450"/>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Foreign Institutions/ Ownership</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465.59</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698.97</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1048.86</w:t>
            </w:r>
          </w:p>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(75%)</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1207.63</w:t>
            </w:r>
          </w:p>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(75%)</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1207.63</w:t>
            </w:r>
          </w:p>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(75%)</w:t>
            </w:r>
          </w:p>
        </w:tc>
      </w:tr>
      <w:tr w:rsidR="005130C0" w:rsidRPr="00111B84" w:rsidTr="00C40115">
        <w:trPr>
          <w:trHeight w:val="471"/>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“A”/ “Ka” Class Licensed Institutions</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r>
      <w:tr w:rsidR="005130C0" w:rsidRPr="00111B84" w:rsidTr="00C40115">
        <w:trPr>
          <w:trHeight w:val="368"/>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Other Licensed Institutions</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r>
      <w:tr w:rsidR="005130C0" w:rsidRPr="00111B84" w:rsidTr="00C40115">
        <w:trPr>
          <w:trHeight w:val="350"/>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Other Entities</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15.65</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34.38</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32.76</w:t>
            </w:r>
          </w:p>
        </w:tc>
      </w:tr>
      <w:tr w:rsidR="005130C0" w:rsidRPr="00111B84" w:rsidTr="00C40115">
        <w:trPr>
          <w:trHeight w:val="350"/>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 xml:space="preserve">Individuals </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332.71</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368.16</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369.78</w:t>
            </w:r>
          </w:p>
        </w:tc>
      </w:tr>
      <w:tr w:rsidR="005130C0" w:rsidRPr="00111B84" w:rsidTr="00C40115">
        <w:trPr>
          <w:trHeight w:val="350"/>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rPr>
            </w:pPr>
            <w:r w:rsidRPr="00C40115">
              <w:rPr>
                <w:rFonts w:ascii="Times New Roman" w:hAnsi="Times New Roman" w:cs="Times New Roman"/>
              </w:rPr>
              <w:t>others</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1.26</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rPr>
            </w:pPr>
            <w:r w:rsidRPr="00C40115">
              <w:rPr>
                <w:rFonts w:ascii="Times New Roman" w:hAnsi="Times New Roman" w:cs="Times New Roman"/>
              </w:rPr>
              <w:t>_</w:t>
            </w:r>
          </w:p>
        </w:tc>
      </w:tr>
      <w:tr w:rsidR="005130C0" w:rsidRPr="00111B84" w:rsidTr="00C40115">
        <w:trPr>
          <w:trHeight w:val="377"/>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b/>
              </w:rPr>
            </w:pPr>
            <w:r w:rsidRPr="00C40115">
              <w:rPr>
                <w:rFonts w:ascii="Times New Roman" w:hAnsi="Times New Roman" w:cs="Times New Roman"/>
                <w:b/>
              </w:rPr>
              <w:t>General Public</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155.19</w:t>
            </w:r>
            <w:r w:rsidR="00C40115">
              <w:rPr>
                <w:rFonts w:ascii="Times New Roman" w:hAnsi="Times New Roman" w:cs="Times New Roman"/>
                <w:b/>
              </w:rPr>
              <w:t xml:space="preserve"> </w:t>
            </w:r>
            <w:r w:rsidRPr="00C40115">
              <w:rPr>
                <w:rFonts w:ascii="Times New Roman" w:hAnsi="Times New Roman" w:cs="Times New Roman"/>
                <w:b/>
              </w:rPr>
              <w:t>(25%)</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232.99</w:t>
            </w:r>
            <w:r w:rsidR="00C40115">
              <w:rPr>
                <w:rFonts w:ascii="Times New Roman" w:hAnsi="Times New Roman" w:cs="Times New Roman"/>
                <w:b/>
              </w:rPr>
              <w:t xml:space="preserve"> </w:t>
            </w:r>
            <w:r w:rsidRPr="00C40115">
              <w:rPr>
                <w:rFonts w:ascii="Times New Roman" w:hAnsi="Times New Roman" w:cs="Times New Roman"/>
                <w:b/>
              </w:rPr>
              <w:t>(25%)</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b/>
              </w:rPr>
            </w:pP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p>
        </w:tc>
      </w:tr>
      <w:tr w:rsidR="005130C0" w:rsidRPr="00111B84" w:rsidTr="00C40115">
        <w:trPr>
          <w:trHeight w:val="368"/>
        </w:trPr>
        <w:tc>
          <w:tcPr>
            <w:tcW w:w="3060" w:type="dxa"/>
          </w:tcPr>
          <w:p w:rsidR="005130C0" w:rsidRPr="00C40115" w:rsidRDefault="005130C0" w:rsidP="003507F1">
            <w:pPr>
              <w:tabs>
                <w:tab w:val="left" w:pos="3208"/>
              </w:tabs>
              <w:spacing w:after="0" w:line="360" w:lineRule="auto"/>
              <w:jc w:val="both"/>
              <w:rPr>
                <w:rFonts w:ascii="Times New Roman" w:hAnsi="Times New Roman" w:cs="Times New Roman"/>
                <w:b/>
              </w:rPr>
            </w:pPr>
            <w:r w:rsidRPr="00C40115">
              <w:rPr>
                <w:rFonts w:ascii="Times New Roman" w:hAnsi="Times New Roman" w:cs="Times New Roman"/>
                <w:b/>
              </w:rPr>
              <w:t xml:space="preserve">Total </w:t>
            </w:r>
          </w:p>
        </w:tc>
        <w:tc>
          <w:tcPr>
            <w:tcW w:w="1530" w:type="dxa"/>
            <w:tcBorders>
              <w:righ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620.78</w:t>
            </w:r>
          </w:p>
        </w:tc>
        <w:tc>
          <w:tcPr>
            <w:tcW w:w="1530" w:type="dxa"/>
            <w:tcBorders>
              <w:left w:val="single" w:sz="4" w:space="0" w:color="auto"/>
            </w:tcBorders>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931.97</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1398.48</w:t>
            </w:r>
          </w:p>
        </w:tc>
        <w:tc>
          <w:tcPr>
            <w:tcW w:w="99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1610.17</w:t>
            </w:r>
          </w:p>
        </w:tc>
        <w:tc>
          <w:tcPr>
            <w:tcW w:w="1080" w:type="dxa"/>
            <w:shd w:val="clear" w:color="auto" w:fill="auto"/>
          </w:tcPr>
          <w:p w:rsidR="005130C0" w:rsidRPr="00C40115" w:rsidRDefault="005130C0" w:rsidP="003507F1">
            <w:pPr>
              <w:spacing w:after="0" w:line="360" w:lineRule="auto"/>
              <w:jc w:val="both"/>
              <w:rPr>
                <w:rFonts w:ascii="Times New Roman" w:hAnsi="Times New Roman" w:cs="Times New Roman"/>
                <w:b/>
              </w:rPr>
            </w:pPr>
            <w:r w:rsidRPr="00C40115">
              <w:rPr>
                <w:rFonts w:ascii="Times New Roman" w:hAnsi="Times New Roman" w:cs="Times New Roman"/>
                <w:b/>
              </w:rPr>
              <w:t>1610.17</w:t>
            </w:r>
          </w:p>
        </w:tc>
      </w:tr>
    </w:tbl>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the Share Ownership Composition of SCBNL for the period between 2064/65-2068/69. From the figures presented in the table, it has been observed that the Foreign Institutions/Ownership of SCBNL has the highest index of 75% during the year of 2067-2069 whereas only 25% of General Public in the year 2065 &amp; 2066.   </w:t>
      </w:r>
    </w:p>
    <w:p w:rsidR="00C40115" w:rsidRPr="00111B84" w:rsidRDefault="00C40115"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During this period, highest Share ownership is seen during the year of 2068 &amp; 2069 at the same amount of 1610.17 million rupees  and then second highest is 1398 million in the year 2067 and least amount of share ownership is only 620.78 million was found in the year 2065 (base year). </w:t>
      </w:r>
    </w:p>
    <w:p w:rsidR="005130C0" w:rsidRPr="00111B84" w:rsidRDefault="005130C0" w:rsidP="00D25535">
      <w:pPr>
        <w:tabs>
          <w:tab w:val="left" w:pos="3208"/>
        </w:tabs>
        <w:spacing w:after="0" w:line="360" w:lineRule="auto"/>
        <w:jc w:val="both"/>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noProof/>
          <w:sz w:val="24"/>
          <w:szCs w:val="24"/>
          <w:lang w:bidi="ne-NP"/>
        </w:rPr>
        <w:lastRenderedPageBreak/>
        <w:drawing>
          <wp:inline distT="0" distB="0" distL="0" distR="0">
            <wp:extent cx="5133975" cy="3133725"/>
            <wp:effectExtent l="19050" t="0" r="9525" b="0"/>
            <wp:docPr id="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130C0"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1</w:t>
      </w:r>
    </w:p>
    <w:p w:rsidR="00C40115" w:rsidRPr="00111B84" w:rsidRDefault="00C40115" w:rsidP="00D25535">
      <w:pPr>
        <w:tabs>
          <w:tab w:val="left" w:pos="3208"/>
        </w:tabs>
        <w:spacing w:after="0" w:line="360" w:lineRule="auto"/>
        <w:jc w:val="center"/>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This figure clearly shows the composition of share ownership Standard Chartered Bank Nepal Limited which is increasing trend and reached to the peak of 1610.17 during the year of 2067/68 and after this point it remains same level till 2068/69. </w:t>
      </w:r>
    </w:p>
    <w:p w:rsidR="00DE74A6" w:rsidRPr="00111B84" w:rsidRDefault="00DE74A6"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share ownership of this bank might be upward position in future by seeing the previous five years data because from the base year, it is remarkably reached at peak of 1610.17 million from 620.78 million of its share ownership.</w:t>
      </w:r>
    </w:p>
    <w:p w:rsidR="0066042A" w:rsidRDefault="0066042A" w:rsidP="00D25535">
      <w:pPr>
        <w:tabs>
          <w:tab w:val="left" w:pos="3208"/>
        </w:tabs>
        <w:spacing w:after="0" w:line="360" w:lineRule="auto"/>
        <w:jc w:val="center"/>
        <w:rPr>
          <w:rFonts w:ascii="Times New Roman" w:hAnsi="Times New Roman" w:cs="Times New Roman"/>
          <w:b/>
          <w:sz w:val="24"/>
          <w:szCs w:val="24"/>
        </w:rPr>
      </w:pPr>
    </w:p>
    <w:p w:rsidR="00C26AE7" w:rsidRDefault="00C26AE7" w:rsidP="00D25535">
      <w:pPr>
        <w:tabs>
          <w:tab w:val="left" w:pos="3208"/>
        </w:tabs>
        <w:spacing w:after="0" w:line="360" w:lineRule="auto"/>
        <w:jc w:val="center"/>
        <w:rPr>
          <w:rFonts w:ascii="Times New Roman" w:hAnsi="Times New Roman" w:cs="Times New Roman"/>
          <w:b/>
          <w:sz w:val="24"/>
          <w:szCs w:val="24"/>
        </w:rPr>
      </w:pPr>
    </w:p>
    <w:p w:rsidR="00C26AE7" w:rsidRDefault="00C26AE7" w:rsidP="00D25535">
      <w:pPr>
        <w:tabs>
          <w:tab w:val="left" w:pos="3208"/>
        </w:tabs>
        <w:spacing w:after="0" w:line="360" w:lineRule="auto"/>
        <w:jc w:val="center"/>
        <w:rPr>
          <w:rFonts w:ascii="Times New Roman" w:hAnsi="Times New Roman" w:cs="Times New Roman"/>
          <w:b/>
          <w:sz w:val="24"/>
          <w:szCs w:val="24"/>
        </w:rPr>
      </w:pPr>
    </w:p>
    <w:p w:rsidR="00C26AE7" w:rsidRDefault="00C26AE7" w:rsidP="00D25535">
      <w:pPr>
        <w:tabs>
          <w:tab w:val="left" w:pos="3208"/>
        </w:tabs>
        <w:spacing w:after="0" w:line="360" w:lineRule="auto"/>
        <w:jc w:val="center"/>
        <w:rPr>
          <w:rFonts w:ascii="Times New Roman" w:hAnsi="Times New Roman" w:cs="Times New Roman"/>
          <w:b/>
          <w:sz w:val="24"/>
          <w:szCs w:val="24"/>
        </w:rPr>
      </w:pPr>
    </w:p>
    <w:p w:rsidR="003507F1" w:rsidRDefault="003507F1">
      <w:pPr>
        <w:rPr>
          <w:rFonts w:ascii="Times New Roman" w:hAnsi="Times New Roman" w:cs="Times New Roman"/>
          <w:b/>
          <w:sz w:val="24"/>
          <w:szCs w:val="24"/>
        </w:rPr>
      </w:pPr>
      <w:r>
        <w:rPr>
          <w:rFonts w:ascii="Times New Roman" w:hAnsi="Times New Roman" w:cs="Times New Roman"/>
          <w:b/>
          <w:sz w:val="24"/>
          <w:szCs w:val="24"/>
        </w:rPr>
        <w:br w:type="page"/>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lastRenderedPageBreak/>
        <w:t>Table No 4.11</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 xml:space="preserve"> General Reserve Composition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0"/>
        <w:gridCol w:w="1080"/>
        <w:gridCol w:w="1170"/>
        <w:gridCol w:w="1080"/>
        <w:gridCol w:w="1080"/>
        <w:gridCol w:w="1080"/>
      </w:tblGrid>
      <w:tr w:rsidR="005130C0" w:rsidRPr="00111B84" w:rsidTr="005130C0">
        <w:trPr>
          <w:trHeight w:val="467"/>
        </w:trPr>
        <w:tc>
          <w:tcPr>
            <w:tcW w:w="3690" w:type="dxa"/>
          </w:tcPr>
          <w:p w:rsidR="005130C0" w:rsidRPr="00111B84" w:rsidRDefault="005130C0" w:rsidP="003507F1">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Composition</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2064/65</w:t>
            </w:r>
          </w:p>
        </w:tc>
        <w:tc>
          <w:tcPr>
            <w:tcW w:w="117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2065/66</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2066/67</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2067/68</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2068/69</w:t>
            </w:r>
          </w:p>
        </w:tc>
      </w:tr>
      <w:tr w:rsidR="005130C0" w:rsidRPr="00111B84" w:rsidTr="00C40115">
        <w:trPr>
          <w:trHeight w:val="323"/>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General Reserve Fund</w:t>
            </w:r>
          </w:p>
        </w:tc>
        <w:tc>
          <w:tcPr>
            <w:tcW w:w="1080" w:type="dxa"/>
            <w:tcBorders>
              <w:bottom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990.29</w:t>
            </w:r>
          </w:p>
        </w:tc>
        <w:tc>
          <w:tcPr>
            <w:tcW w:w="117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1195.32</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1412.49</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1636.33</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1870.12</w:t>
            </w:r>
          </w:p>
        </w:tc>
      </w:tr>
      <w:tr w:rsidR="005130C0" w:rsidRPr="00111B84" w:rsidTr="00C40115">
        <w:trPr>
          <w:trHeight w:val="350"/>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Proposed Issued of Bonus Shares</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310.39</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465.98</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p>
        </w:tc>
      </w:tr>
      <w:tr w:rsidR="005130C0" w:rsidRPr="00111B84" w:rsidTr="00C40115">
        <w:trPr>
          <w:trHeight w:val="260"/>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Capital Reserve Fund</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242"/>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Capital Redemption Reserve</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233"/>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Capital Adjustment Fund</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350"/>
        </w:trPr>
        <w:tc>
          <w:tcPr>
            <w:tcW w:w="3690" w:type="dxa"/>
            <w:vMerge w:val="restart"/>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Other Reserves and Funds:</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Contingent Reserve</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Institutional Development Fund</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Dividend Equalization Fund</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Special Reserve Fund</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Assets Revaluation Fund</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Deferred Tax Reserves</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Other Free Reserves</w:t>
            </w:r>
          </w:p>
          <w:p w:rsidR="005130C0" w:rsidRPr="00111B84" w:rsidRDefault="005130C0" w:rsidP="003507F1">
            <w:pPr>
              <w:pStyle w:val="ListParagraph"/>
              <w:numPr>
                <w:ilvl w:val="0"/>
                <w:numId w:val="1"/>
              </w:numPr>
              <w:tabs>
                <w:tab w:val="left" w:pos="3208"/>
              </w:tabs>
              <w:spacing w:after="0" w:line="360" w:lineRule="auto"/>
              <w:ind w:left="342"/>
              <w:rPr>
                <w:rFonts w:ascii="Times New Roman" w:hAnsi="Times New Roman" w:cs="Times New Roman"/>
                <w:sz w:val="24"/>
                <w:szCs w:val="24"/>
              </w:rPr>
            </w:pPr>
            <w:r w:rsidRPr="00111B84">
              <w:rPr>
                <w:rFonts w:ascii="Times New Roman" w:hAnsi="Times New Roman" w:cs="Times New Roman"/>
                <w:sz w:val="24"/>
                <w:szCs w:val="24"/>
              </w:rPr>
              <w:t>Other Reserves</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p>
        </w:tc>
        <w:tc>
          <w:tcPr>
            <w:tcW w:w="1170" w:type="dxa"/>
            <w:tcBorders>
              <w:left w:val="single" w:sz="4" w:space="0" w:color="auto"/>
            </w:tcBorders>
            <w:shd w:val="clear" w:color="auto" w:fill="auto"/>
          </w:tcPr>
          <w:p w:rsidR="005130C0" w:rsidRPr="00111B84" w:rsidRDefault="005130C0" w:rsidP="003507F1">
            <w:pPr>
              <w:spacing w:after="0" w:line="360" w:lineRule="auto"/>
              <w:rPr>
                <w:rFonts w:ascii="Times New Roman" w:hAnsi="Times New Roman" w:cs="Times New Roman"/>
                <w:sz w:val="24"/>
                <w:szCs w:val="24"/>
              </w:rPr>
            </w:pP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77.91</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127.68</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b/>
                <w:sz w:val="24"/>
                <w:szCs w:val="24"/>
              </w:rPr>
              <w:t>84.53</w:t>
            </w:r>
          </w:p>
        </w:tc>
      </w:tr>
      <w:tr w:rsidR="005130C0" w:rsidRPr="00111B84" w:rsidTr="00C40115">
        <w:trPr>
          <w:trHeight w:val="305"/>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rPr>
                <w:rFonts w:ascii="Times New Roman" w:hAnsi="Times New Roman" w:cs="Times New Roman"/>
                <w:sz w:val="24"/>
                <w:szCs w:val="24"/>
              </w:rPr>
            </w:pPr>
            <w:r w:rsidRPr="00111B84">
              <w:rPr>
                <w:rFonts w:ascii="Times New Roman" w:hAnsi="Times New Roman" w:cs="Times New Roman"/>
                <w:sz w:val="24"/>
                <w:szCs w:val="24"/>
              </w:rPr>
              <w:t xml:space="preserve">          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rPr>
                <w:rFonts w:ascii="Times New Roman" w:hAnsi="Times New Roman" w:cs="Times New Roman"/>
                <w:b/>
                <w:sz w:val="24"/>
                <w:szCs w:val="24"/>
              </w:rPr>
            </w:pPr>
            <w:r w:rsidRPr="00111B84">
              <w:rPr>
                <w:rFonts w:ascii="Times New Roman" w:hAnsi="Times New Roman" w:cs="Times New Roman"/>
                <w:sz w:val="24"/>
                <w:szCs w:val="24"/>
              </w:rPr>
              <w:t xml:space="preserve">        _</w:t>
            </w:r>
          </w:p>
        </w:tc>
      </w:tr>
      <w:tr w:rsidR="005130C0" w:rsidRPr="00111B84" w:rsidTr="005130C0">
        <w:trPr>
          <w:trHeight w:val="332"/>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368"/>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350"/>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 xml:space="preserve">     76.28</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5130C0">
        <w:trPr>
          <w:trHeight w:val="332"/>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74.91</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82.91</w:t>
            </w:r>
          </w:p>
        </w:tc>
      </w:tr>
      <w:tr w:rsidR="005130C0" w:rsidRPr="00111B84" w:rsidTr="00C40115">
        <w:trPr>
          <w:trHeight w:val="278"/>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_</w:t>
            </w:r>
          </w:p>
        </w:tc>
      </w:tr>
      <w:tr w:rsidR="005130C0" w:rsidRPr="00111B84" w:rsidTr="00C40115">
        <w:trPr>
          <w:trHeight w:val="260"/>
        </w:trPr>
        <w:tc>
          <w:tcPr>
            <w:tcW w:w="3690" w:type="dxa"/>
            <w:vMerge/>
          </w:tcPr>
          <w:p w:rsidR="005130C0" w:rsidRPr="00111B84" w:rsidRDefault="005130C0" w:rsidP="003507F1">
            <w:pPr>
              <w:tabs>
                <w:tab w:val="left" w:pos="3208"/>
              </w:tabs>
              <w:spacing w:after="0" w:line="360" w:lineRule="auto"/>
              <w:rPr>
                <w:rFonts w:ascii="Times New Roman" w:hAnsi="Times New Roman" w:cs="Times New Roman"/>
                <w:sz w:val="24"/>
                <w:szCs w:val="24"/>
              </w:rPr>
            </w:pPr>
          </w:p>
        </w:tc>
        <w:tc>
          <w:tcPr>
            <w:tcW w:w="1080" w:type="dxa"/>
            <w:tcBorders>
              <w:right w:val="single" w:sz="4" w:space="0" w:color="auto"/>
            </w:tcBorders>
            <w:shd w:val="clear" w:color="auto" w:fill="auto"/>
          </w:tcPr>
          <w:p w:rsidR="005130C0" w:rsidRPr="00111B84" w:rsidRDefault="005130C0" w:rsidP="003507F1">
            <w:pPr>
              <w:spacing w:after="0" w:line="360" w:lineRule="auto"/>
              <w:rPr>
                <w:rFonts w:ascii="Times New Roman" w:hAnsi="Times New Roman" w:cs="Times New Roman"/>
                <w:sz w:val="24"/>
                <w:szCs w:val="24"/>
              </w:rPr>
            </w:pPr>
          </w:p>
        </w:tc>
        <w:tc>
          <w:tcPr>
            <w:tcW w:w="1170" w:type="dxa"/>
            <w:tcBorders>
              <w:left w:val="single" w:sz="4" w:space="0" w:color="auto"/>
            </w:tcBorders>
            <w:shd w:val="clear" w:color="auto" w:fill="auto"/>
          </w:tcPr>
          <w:p w:rsidR="005130C0" w:rsidRPr="00111B84" w:rsidRDefault="005130C0" w:rsidP="003507F1">
            <w:pPr>
              <w:spacing w:after="0" w:line="360" w:lineRule="auto"/>
              <w:rPr>
                <w:rFonts w:ascii="Times New Roman" w:hAnsi="Times New Roman" w:cs="Times New Roman"/>
                <w:sz w:val="24"/>
                <w:szCs w:val="24"/>
              </w:rPr>
            </w:pP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1.63</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52.77</w:t>
            </w:r>
          </w:p>
        </w:tc>
        <w:tc>
          <w:tcPr>
            <w:tcW w:w="1080" w:type="dxa"/>
            <w:shd w:val="clear" w:color="auto" w:fill="auto"/>
          </w:tcPr>
          <w:p w:rsidR="005130C0" w:rsidRPr="00111B84" w:rsidRDefault="005130C0" w:rsidP="003507F1">
            <w:pPr>
              <w:spacing w:after="0" w:line="360" w:lineRule="auto"/>
              <w:rPr>
                <w:rFonts w:ascii="Times New Roman" w:hAnsi="Times New Roman" w:cs="Times New Roman"/>
                <w:sz w:val="24"/>
                <w:szCs w:val="24"/>
              </w:rPr>
            </w:pPr>
            <w:r w:rsidRPr="00111B84">
              <w:rPr>
                <w:rFonts w:ascii="Times New Roman" w:hAnsi="Times New Roman" w:cs="Times New Roman"/>
                <w:sz w:val="24"/>
                <w:szCs w:val="24"/>
              </w:rPr>
              <w:t>1.63</w:t>
            </w:r>
          </w:p>
        </w:tc>
      </w:tr>
      <w:tr w:rsidR="005130C0" w:rsidRPr="00111B84" w:rsidTr="00C40115">
        <w:trPr>
          <w:trHeight w:val="350"/>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Accumulated Profit/ Loss</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383.29</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239.49</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29.96</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44.41</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8.94</w:t>
            </w:r>
          </w:p>
        </w:tc>
      </w:tr>
      <w:tr w:rsidR="005130C0" w:rsidRPr="00111B84" w:rsidTr="00C40115">
        <w:trPr>
          <w:trHeight w:val="350"/>
        </w:trPr>
        <w:tc>
          <w:tcPr>
            <w:tcW w:w="3690" w:type="dxa"/>
          </w:tcPr>
          <w:p w:rsidR="005130C0" w:rsidRPr="00111B84" w:rsidRDefault="005130C0" w:rsidP="003507F1">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Exchange Fluctuation Fund</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187.79</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219.71</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241.09</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259.19</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sz w:val="24"/>
                <w:szCs w:val="24"/>
              </w:rPr>
            </w:pPr>
            <w:r w:rsidRPr="00111B84">
              <w:rPr>
                <w:rFonts w:ascii="Times New Roman" w:hAnsi="Times New Roman" w:cs="Times New Roman"/>
                <w:sz w:val="24"/>
                <w:szCs w:val="24"/>
              </w:rPr>
              <w:t>306.89</w:t>
            </w:r>
          </w:p>
        </w:tc>
      </w:tr>
      <w:tr w:rsidR="005130C0" w:rsidRPr="00111B84" w:rsidTr="00C40115">
        <w:trPr>
          <w:trHeight w:val="323"/>
        </w:trPr>
        <w:tc>
          <w:tcPr>
            <w:tcW w:w="3690" w:type="dxa"/>
          </w:tcPr>
          <w:p w:rsidR="005130C0" w:rsidRPr="00111B84" w:rsidRDefault="005130C0" w:rsidP="003507F1">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Total</w:t>
            </w:r>
          </w:p>
        </w:tc>
        <w:tc>
          <w:tcPr>
            <w:tcW w:w="1080" w:type="dxa"/>
            <w:tcBorders>
              <w:righ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1871.76</w:t>
            </w:r>
          </w:p>
        </w:tc>
        <w:tc>
          <w:tcPr>
            <w:tcW w:w="1170" w:type="dxa"/>
            <w:tcBorders>
              <w:left w:val="single" w:sz="4" w:space="0" w:color="auto"/>
            </w:tcBorders>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2120.50</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1761.45</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2067.61</w:t>
            </w:r>
          </w:p>
        </w:tc>
        <w:tc>
          <w:tcPr>
            <w:tcW w:w="1080" w:type="dxa"/>
            <w:shd w:val="clear" w:color="auto" w:fill="auto"/>
          </w:tcPr>
          <w:p w:rsidR="005130C0" w:rsidRPr="00111B84" w:rsidRDefault="005130C0" w:rsidP="003507F1">
            <w:pPr>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2270.48</w:t>
            </w:r>
          </w:p>
        </w:tc>
      </w:tr>
    </w:tbl>
    <w:p w:rsidR="00DE74A6" w:rsidRDefault="00DE74A6"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Table shows the General Reserve Composition of SCBNL for the period between 2064/65-2068/69. From the figures presented in the table, it has been observed that the General Reserve Fund of SCBNL has the increasing trend with the highest Value of 1870.12 which is twofold greater than as compared to the figure in 2064/65 (base year) and the same upward trend is seen in the Exchange Fluctuation Funds till the year 2069.</w:t>
      </w:r>
    </w:p>
    <w:p w:rsidR="003507F1" w:rsidRPr="00111B84" w:rsidRDefault="003507F1"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During this period, highest General Reserve Composition is seen during the year of 2069 at the amount of 2270.48 million rupees and then second highest is 2120.20 million in the year 2066 and least amount of General Reserve composition is only 1761.45 million was found in the year 2067. The table clearly says that other reserves </w:t>
      </w:r>
      <w:r w:rsidRPr="00111B84">
        <w:rPr>
          <w:rFonts w:ascii="Times New Roman" w:hAnsi="Times New Roman" w:cs="Times New Roman"/>
          <w:sz w:val="24"/>
          <w:szCs w:val="24"/>
        </w:rPr>
        <w:lastRenderedPageBreak/>
        <w:t>and funds is fluctuating during the period from 2067 to till 2069 and Accumulate Profit /Loss has also ups and downs during whole period of half decade.</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Pr="00111B84" w:rsidRDefault="005130C0" w:rsidP="00D25535">
      <w:pPr>
        <w:spacing w:after="0" w:line="360" w:lineRule="auto"/>
        <w:jc w:val="center"/>
        <w:rPr>
          <w:rFonts w:ascii="Times New Roman" w:hAnsi="Times New Roman" w:cs="Times New Roman"/>
          <w:b/>
          <w:sz w:val="24"/>
          <w:szCs w:val="24"/>
        </w:rPr>
      </w:pPr>
      <w:r w:rsidRPr="00DE74A6">
        <w:rPr>
          <w:rFonts w:ascii="Times New Roman" w:hAnsi="Times New Roman" w:cs="Times New Roman"/>
          <w:b/>
          <w:noProof/>
          <w:sz w:val="24"/>
          <w:szCs w:val="24"/>
          <w:bdr w:val="single" w:sz="4" w:space="0" w:color="auto"/>
          <w:lang w:bidi="ne-NP"/>
        </w:rPr>
        <w:drawing>
          <wp:inline distT="0" distB="0" distL="0" distR="0">
            <wp:extent cx="5305425" cy="2676525"/>
            <wp:effectExtent l="19050" t="0" r="9525" b="0"/>
            <wp:docPr id="4"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111B84">
        <w:rPr>
          <w:rFonts w:ascii="Times New Roman" w:hAnsi="Times New Roman" w:cs="Times New Roman"/>
          <w:b/>
          <w:sz w:val="24"/>
          <w:szCs w:val="24"/>
        </w:rPr>
        <w:t>Figure no. 2</w:t>
      </w:r>
    </w:p>
    <w:p w:rsidR="00DE74A6" w:rsidRDefault="00DE74A6"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This line chart clearly shows the General Reserve composition of Standard Chartered Bank Nepal Limited which is fluctuating. At the beginning of the year it was 1871.76 of total general reserve after this slowly increased up to 2120.50 million to the following year and then suddenly dropped to below initial amount and again upward trend till the year of 2068/69 </w:t>
      </w:r>
    </w:p>
    <w:p w:rsidR="003507F1" w:rsidRPr="00111B84" w:rsidRDefault="003507F1"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share ownership of this bank might be ups and down position in future by seeing the previous five years data because from the base year, it is fluctuation in whole five year period of 2068/69.</w:t>
      </w:r>
    </w:p>
    <w:p w:rsidR="0066042A" w:rsidRPr="00111B84" w:rsidRDefault="0066042A" w:rsidP="00D25535">
      <w:pPr>
        <w:tabs>
          <w:tab w:val="left" w:pos="3208"/>
        </w:tabs>
        <w:spacing w:after="0" w:line="360" w:lineRule="auto"/>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lastRenderedPageBreak/>
        <w:t>Table No 4.12</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Deposit Account</w:t>
      </w:r>
    </w:p>
    <w:tbl>
      <w:tblPr>
        <w:tblW w:w="0" w:type="auto"/>
        <w:jc w:val="center"/>
        <w:tblInd w:w="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2340"/>
        <w:gridCol w:w="2790"/>
        <w:gridCol w:w="1440"/>
      </w:tblGrid>
      <w:tr w:rsidR="005130C0" w:rsidRPr="00111B84" w:rsidTr="001D5E07">
        <w:trPr>
          <w:trHeight w:val="432"/>
          <w:jc w:val="center"/>
        </w:trPr>
        <w:tc>
          <w:tcPr>
            <w:tcW w:w="1032" w:type="dxa"/>
            <w:tcBorders>
              <w:top w:val="single" w:sz="2" w:space="0" w:color="auto"/>
              <w:bottom w:val="single" w:sz="4" w:space="0" w:color="auto"/>
            </w:tcBorders>
          </w:tcPr>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Year</w:t>
            </w:r>
          </w:p>
        </w:tc>
        <w:tc>
          <w:tcPr>
            <w:tcW w:w="234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left="-144" w:right="-288"/>
              <w:jc w:val="center"/>
              <w:rPr>
                <w:rFonts w:ascii="Times New Roman" w:hAnsi="Times New Roman" w:cs="Times New Roman"/>
                <w:b/>
                <w:sz w:val="24"/>
                <w:szCs w:val="24"/>
              </w:rPr>
            </w:pPr>
            <w:r w:rsidRPr="00111B84">
              <w:rPr>
                <w:rFonts w:ascii="Times New Roman" w:hAnsi="Times New Roman" w:cs="Times New Roman"/>
                <w:b/>
                <w:sz w:val="24"/>
                <w:szCs w:val="24"/>
              </w:rPr>
              <w:t xml:space="preserve">Non-interest Bearing </w:t>
            </w:r>
          </w:p>
          <w:p w:rsidR="005130C0" w:rsidRPr="00111B84" w:rsidRDefault="005130C0" w:rsidP="00D25535">
            <w:pPr>
              <w:tabs>
                <w:tab w:val="left" w:pos="3208"/>
              </w:tabs>
              <w:spacing w:after="0" w:line="360" w:lineRule="auto"/>
              <w:ind w:left="-144" w:right="-288"/>
              <w:jc w:val="center"/>
              <w:rPr>
                <w:rFonts w:ascii="Times New Roman" w:hAnsi="Times New Roman" w:cs="Times New Roman"/>
                <w:b/>
                <w:sz w:val="24"/>
                <w:szCs w:val="24"/>
              </w:rPr>
            </w:pPr>
            <w:r w:rsidRPr="00111B84">
              <w:rPr>
                <w:rFonts w:ascii="Times New Roman" w:hAnsi="Times New Roman" w:cs="Times New Roman"/>
                <w:b/>
                <w:sz w:val="24"/>
                <w:szCs w:val="24"/>
              </w:rPr>
              <w:t>Accounts</w:t>
            </w:r>
          </w:p>
        </w:tc>
        <w:tc>
          <w:tcPr>
            <w:tcW w:w="279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jc w:val="center"/>
              <w:rPr>
                <w:rFonts w:ascii="Times New Roman" w:hAnsi="Times New Roman" w:cs="Times New Roman"/>
                <w:b/>
                <w:sz w:val="24"/>
                <w:szCs w:val="24"/>
              </w:rPr>
            </w:pPr>
            <w:r w:rsidRPr="00111B84">
              <w:rPr>
                <w:rFonts w:ascii="Times New Roman" w:hAnsi="Times New Roman" w:cs="Times New Roman"/>
                <w:b/>
                <w:sz w:val="24"/>
                <w:szCs w:val="24"/>
              </w:rPr>
              <w:t>Interest Bearing Accounts</w:t>
            </w:r>
          </w:p>
        </w:tc>
        <w:tc>
          <w:tcPr>
            <w:tcW w:w="144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 xml:space="preserve">     Total</w:t>
            </w:r>
          </w:p>
        </w:tc>
      </w:tr>
      <w:tr w:rsidR="005130C0" w:rsidRPr="00111B84" w:rsidTr="001D5E07">
        <w:trPr>
          <w:trHeight w:val="324"/>
          <w:jc w:val="center"/>
        </w:trPr>
        <w:tc>
          <w:tcPr>
            <w:tcW w:w="1032"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2064/65</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6648.60(22.35%)</w:t>
            </w:r>
          </w:p>
        </w:tc>
        <w:tc>
          <w:tcPr>
            <w:tcW w:w="2790" w:type="dxa"/>
            <w:tcBorders>
              <w:top w:val="single" w:sz="4" w:space="0" w:color="auto"/>
              <w:bottom w:val="single" w:sz="4" w:space="0" w:color="auto"/>
            </w:tcBorders>
          </w:tcPr>
          <w:p w:rsidR="005130C0" w:rsidRPr="00111B84" w:rsidRDefault="005130C0" w:rsidP="00C4011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 xml:space="preserve">          23095.39 (77.65%)</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29743.99</w:t>
            </w:r>
          </w:p>
        </w:tc>
      </w:tr>
      <w:tr w:rsidR="005130C0" w:rsidRPr="00111B84" w:rsidTr="001D5E07">
        <w:trPr>
          <w:trHeight w:val="402"/>
          <w:jc w:val="center"/>
        </w:trPr>
        <w:tc>
          <w:tcPr>
            <w:tcW w:w="1032"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2065/66</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6580.82 (18.35%)</w:t>
            </w:r>
          </w:p>
        </w:tc>
        <w:tc>
          <w:tcPr>
            <w:tcW w:w="2790" w:type="dxa"/>
            <w:tcBorders>
              <w:top w:val="single" w:sz="4" w:space="0" w:color="auto"/>
              <w:bottom w:val="single" w:sz="4" w:space="0" w:color="auto"/>
            </w:tcBorders>
          </w:tcPr>
          <w:p w:rsidR="005130C0" w:rsidRPr="00111B84" w:rsidRDefault="005130C0" w:rsidP="00C4011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29290.90 (81.65%)</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35871.72</w:t>
            </w:r>
          </w:p>
        </w:tc>
      </w:tr>
      <w:tr w:rsidR="005130C0" w:rsidRPr="00111B84" w:rsidTr="001D5E07">
        <w:trPr>
          <w:trHeight w:val="343"/>
          <w:jc w:val="center"/>
        </w:trPr>
        <w:tc>
          <w:tcPr>
            <w:tcW w:w="1032"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2066/67</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10014.40 (28.46%)</w:t>
            </w:r>
          </w:p>
        </w:tc>
        <w:tc>
          <w:tcPr>
            <w:tcW w:w="2790" w:type="dxa"/>
            <w:tcBorders>
              <w:top w:val="single" w:sz="4" w:space="0" w:color="auto"/>
              <w:bottom w:val="single" w:sz="4" w:space="0" w:color="auto"/>
            </w:tcBorders>
          </w:tcPr>
          <w:p w:rsidR="005130C0" w:rsidRPr="00111B84" w:rsidRDefault="005130C0" w:rsidP="00C4011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25168.32 (71.54%)</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35182.72</w:t>
            </w:r>
          </w:p>
        </w:tc>
      </w:tr>
      <w:tr w:rsidR="005130C0" w:rsidRPr="00111B84" w:rsidTr="001D5E07">
        <w:trPr>
          <w:trHeight w:val="312"/>
          <w:jc w:val="center"/>
        </w:trPr>
        <w:tc>
          <w:tcPr>
            <w:tcW w:w="1032"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2067/68</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11837.29 (31.15%)</w:t>
            </w:r>
          </w:p>
        </w:tc>
        <w:tc>
          <w:tcPr>
            <w:tcW w:w="2790" w:type="dxa"/>
            <w:tcBorders>
              <w:top w:val="single" w:sz="4" w:space="0" w:color="auto"/>
              <w:bottom w:val="single" w:sz="4" w:space="0" w:color="auto"/>
            </w:tcBorders>
          </w:tcPr>
          <w:p w:rsidR="005130C0" w:rsidRPr="00111B84" w:rsidRDefault="005130C0" w:rsidP="00C4011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26161.95 (68.85%)</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37999.24</w:t>
            </w:r>
          </w:p>
        </w:tc>
      </w:tr>
      <w:tr w:rsidR="005130C0" w:rsidRPr="00111B84" w:rsidTr="001D5E07">
        <w:trPr>
          <w:trHeight w:val="337"/>
          <w:jc w:val="center"/>
        </w:trPr>
        <w:tc>
          <w:tcPr>
            <w:tcW w:w="1032"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2068/69</w:t>
            </w:r>
          </w:p>
        </w:tc>
        <w:tc>
          <w:tcPr>
            <w:tcW w:w="234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12184.52 (33.88%)</w:t>
            </w:r>
          </w:p>
        </w:tc>
        <w:tc>
          <w:tcPr>
            <w:tcW w:w="2790" w:type="dxa"/>
            <w:tcBorders>
              <w:top w:val="single" w:sz="4" w:space="0" w:color="auto"/>
            </w:tcBorders>
          </w:tcPr>
          <w:p w:rsidR="005130C0" w:rsidRPr="00111B84" w:rsidRDefault="005130C0" w:rsidP="00C4011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23781.11 (66.12%)</w:t>
            </w:r>
          </w:p>
        </w:tc>
        <w:tc>
          <w:tcPr>
            <w:tcW w:w="144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35965.63</w:t>
            </w:r>
          </w:p>
        </w:tc>
      </w:tr>
    </w:tbl>
    <w:p w:rsidR="005130C0" w:rsidRPr="00111B84" w:rsidRDefault="005130C0" w:rsidP="00D25535">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 xml:space="preserve">                                               </w:t>
      </w: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the Deposit Account of SCBNL for the period between 2064/65-2068/69. From the figures presented in the table, it has been observed that the Interest Bearing Account of SCBNL has the highest index of 81.65% during the year of 2065/66 and second  highest is 77.65% whereas only least is 66.12% of in the latest year of 2069.   </w:t>
      </w:r>
    </w:p>
    <w:p w:rsidR="00DE74A6" w:rsidRPr="00111B84" w:rsidRDefault="00DE74A6"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the highest Non-Interest Bearing of Deposit Account is seen during the year of 2068/69 0f 33.88% and least index i.e. only 18.35% non-interest bearing was found in the year 2065/66. According to the table, Interest Bearing Account is much higher as comparison to the Non-Interest Bearing Account in the whole five years periods.</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Pr="00111B84" w:rsidRDefault="005130C0" w:rsidP="00D25535">
      <w:pPr>
        <w:spacing w:after="0" w:line="360" w:lineRule="auto"/>
        <w:jc w:val="center"/>
        <w:rPr>
          <w:rFonts w:ascii="Times New Roman" w:hAnsi="Times New Roman" w:cs="Times New Roman"/>
          <w:b/>
          <w:sz w:val="24"/>
          <w:szCs w:val="24"/>
        </w:rPr>
      </w:pPr>
      <w:r w:rsidRPr="00111B84">
        <w:rPr>
          <w:rFonts w:ascii="Times New Roman" w:hAnsi="Times New Roman" w:cs="Times New Roman"/>
          <w:b/>
          <w:noProof/>
          <w:sz w:val="24"/>
          <w:szCs w:val="24"/>
          <w:lang w:bidi="ne-NP"/>
        </w:rPr>
        <w:drawing>
          <wp:inline distT="0" distB="0" distL="0" distR="0">
            <wp:extent cx="5486400" cy="2524125"/>
            <wp:effectExtent l="19050" t="0" r="19050"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130C0" w:rsidRPr="00111B84" w:rsidRDefault="00577E67" w:rsidP="00D25535">
      <w:pPr>
        <w:tabs>
          <w:tab w:val="left" w:pos="3208"/>
        </w:tabs>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 xml:space="preserve">                                                           </w:t>
      </w:r>
      <w:r w:rsidR="005130C0" w:rsidRPr="00111B84">
        <w:rPr>
          <w:rFonts w:ascii="Times New Roman" w:hAnsi="Times New Roman" w:cs="Times New Roman"/>
          <w:b/>
          <w:sz w:val="24"/>
          <w:szCs w:val="24"/>
        </w:rPr>
        <w:t>Figure no. 3</w:t>
      </w: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 xml:space="preserve">The figure no.3 clearly shows the total of deposit account of Standard Chartered Bank Nepal Limited which is increasing trend at initial phase of 2065/66 and then upward fluctuating till 2067/68 to reach at topmost point of 37999.24 during the year of 2067/68 and after this point it went to downward position to the year 2068/69. </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deposit account should be fluctuation in future by seeing the previous five years data because from the base year, it is upward fluctuation and it was only 29743.99 million of total deposit account in the base year of 2065.</w:t>
      </w:r>
    </w:p>
    <w:p w:rsidR="00C05935" w:rsidRPr="00111B84" w:rsidRDefault="00C05935"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sz w:val="24"/>
          <w:szCs w:val="24"/>
        </w:rPr>
      </w:pPr>
      <w:r w:rsidRPr="00111B84">
        <w:rPr>
          <w:rFonts w:ascii="Times New Roman" w:hAnsi="Times New Roman" w:cs="Times New Roman"/>
          <w:b/>
          <w:sz w:val="24"/>
          <w:szCs w:val="24"/>
        </w:rPr>
        <w:t>Table No 4.13</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Non-Interest Bearing Accounts</w:t>
      </w:r>
    </w:p>
    <w:tbl>
      <w:tblPr>
        <w:tblW w:w="9023" w:type="dxa"/>
        <w:jc w:val="center"/>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13"/>
        <w:gridCol w:w="1980"/>
        <w:gridCol w:w="1980"/>
        <w:gridCol w:w="1800"/>
        <w:gridCol w:w="990"/>
        <w:gridCol w:w="1260"/>
      </w:tblGrid>
      <w:tr w:rsidR="005130C0" w:rsidRPr="00111B84" w:rsidTr="00DE74A6">
        <w:trPr>
          <w:trHeight w:val="432"/>
          <w:jc w:val="center"/>
        </w:trPr>
        <w:tc>
          <w:tcPr>
            <w:tcW w:w="1013" w:type="dxa"/>
            <w:tcBorders>
              <w:top w:val="single" w:sz="2" w:space="0" w:color="auto"/>
              <w:bottom w:val="single" w:sz="4" w:space="0" w:color="auto"/>
            </w:tcBorders>
          </w:tcPr>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Year</w:t>
            </w:r>
          </w:p>
        </w:tc>
        <w:tc>
          <w:tcPr>
            <w:tcW w:w="198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Local Currency</w:t>
            </w:r>
          </w:p>
        </w:tc>
        <w:tc>
          <w:tcPr>
            <w:tcW w:w="198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Foreign Currency</w:t>
            </w:r>
          </w:p>
        </w:tc>
        <w:tc>
          <w:tcPr>
            <w:tcW w:w="180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Margin Deposits</w:t>
            </w:r>
          </w:p>
        </w:tc>
        <w:tc>
          <w:tcPr>
            <w:tcW w:w="99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 xml:space="preserve">Others </w:t>
            </w:r>
          </w:p>
        </w:tc>
        <w:tc>
          <w:tcPr>
            <w:tcW w:w="126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 xml:space="preserve">     Total</w:t>
            </w:r>
          </w:p>
        </w:tc>
      </w:tr>
      <w:tr w:rsidR="005130C0" w:rsidRPr="00111B84" w:rsidTr="00DE74A6">
        <w:trPr>
          <w:trHeight w:val="512"/>
          <w:jc w:val="center"/>
        </w:trPr>
        <w:tc>
          <w:tcPr>
            <w:tcW w:w="1013"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2064/65</w:t>
            </w:r>
          </w:p>
        </w:tc>
        <w:tc>
          <w:tcPr>
            <w:tcW w:w="198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3855.50 (57.99%)</w:t>
            </w:r>
          </w:p>
        </w:tc>
        <w:tc>
          <w:tcPr>
            <w:tcW w:w="198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2319.06 (34.88%)</w:t>
            </w:r>
          </w:p>
        </w:tc>
        <w:tc>
          <w:tcPr>
            <w:tcW w:w="180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474.04 (7.13%)</w:t>
            </w:r>
          </w:p>
        </w:tc>
        <w:tc>
          <w:tcPr>
            <w:tcW w:w="9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126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6,648.60</w:t>
            </w:r>
          </w:p>
        </w:tc>
      </w:tr>
      <w:tr w:rsidR="005130C0" w:rsidRPr="00111B84" w:rsidTr="00DE74A6">
        <w:trPr>
          <w:trHeight w:val="539"/>
          <w:jc w:val="center"/>
        </w:trPr>
        <w:tc>
          <w:tcPr>
            <w:tcW w:w="1013"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2065/66</w:t>
            </w:r>
          </w:p>
        </w:tc>
        <w:tc>
          <w:tcPr>
            <w:tcW w:w="198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3582.92 (54.45%)</w:t>
            </w:r>
          </w:p>
        </w:tc>
        <w:tc>
          <w:tcPr>
            <w:tcW w:w="198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2619.94 (39.81%)</w:t>
            </w:r>
          </w:p>
        </w:tc>
        <w:tc>
          <w:tcPr>
            <w:tcW w:w="180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377.96 (5.74%)</w:t>
            </w:r>
          </w:p>
        </w:tc>
        <w:tc>
          <w:tcPr>
            <w:tcW w:w="9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126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6,580.82</w:t>
            </w:r>
          </w:p>
        </w:tc>
      </w:tr>
      <w:tr w:rsidR="005130C0" w:rsidRPr="00111B84" w:rsidTr="00DE74A6">
        <w:trPr>
          <w:trHeight w:val="593"/>
          <w:jc w:val="center"/>
        </w:trPr>
        <w:tc>
          <w:tcPr>
            <w:tcW w:w="1013"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2066/67</w:t>
            </w:r>
          </w:p>
        </w:tc>
        <w:tc>
          <w:tcPr>
            <w:tcW w:w="198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4942.47 (49.35%)</w:t>
            </w:r>
          </w:p>
        </w:tc>
        <w:tc>
          <w:tcPr>
            <w:tcW w:w="1980" w:type="dxa"/>
            <w:tcBorders>
              <w:top w:val="single" w:sz="4" w:space="0" w:color="auto"/>
              <w:bottom w:val="single" w:sz="4" w:space="0" w:color="auto"/>
            </w:tcBorders>
          </w:tcPr>
          <w:p w:rsidR="005130C0" w:rsidRPr="00111B84" w:rsidRDefault="005130C0" w:rsidP="00DE74A6">
            <w:pPr>
              <w:tabs>
                <w:tab w:val="left" w:pos="402"/>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4820.69 (48.14%)</w:t>
            </w:r>
          </w:p>
        </w:tc>
        <w:tc>
          <w:tcPr>
            <w:tcW w:w="180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251.24 (2.51%)</w:t>
            </w:r>
          </w:p>
        </w:tc>
        <w:tc>
          <w:tcPr>
            <w:tcW w:w="990" w:type="dxa"/>
            <w:tcBorders>
              <w:top w:val="single" w:sz="4" w:space="0" w:color="auto"/>
              <w:bottom w:val="single" w:sz="4" w:space="0" w:color="auto"/>
            </w:tcBorders>
          </w:tcPr>
          <w:p w:rsidR="005130C0" w:rsidRPr="00111B84" w:rsidRDefault="00A716BA" w:rsidP="00D25535">
            <w:pPr>
              <w:tabs>
                <w:tab w:val="left" w:pos="3208"/>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5130C0" w:rsidRPr="00111B84">
              <w:rPr>
                <w:rFonts w:ascii="Times New Roman" w:hAnsi="Times New Roman" w:cs="Times New Roman"/>
                <w:sz w:val="24"/>
                <w:szCs w:val="24"/>
              </w:rPr>
              <w:t>_</w:t>
            </w:r>
          </w:p>
        </w:tc>
        <w:tc>
          <w:tcPr>
            <w:tcW w:w="126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10,014.40</w:t>
            </w:r>
          </w:p>
        </w:tc>
      </w:tr>
      <w:tr w:rsidR="005130C0" w:rsidRPr="00111B84" w:rsidTr="003507F1">
        <w:trPr>
          <w:trHeight w:val="557"/>
          <w:jc w:val="center"/>
        </w:trPr>
        <w:tc>
          <w:tcPr>
            <w:tcW w:w="1013"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2067/68</w:t>
            </w:r>
          </w:p>
        </w:tc>
        <w:tc>
          <w:tcPr>
            <w:tcW w:w="198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6114.29 (51.65%)</w:t>
            </w:r>
          </w:p>
        </w:tc>
        <w:tc>
          <w:tcPr>
            <w:tcW w:w="198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5431.32 (45.88%)</w:t>
            </w:r>
          </w:p>
        </w:tc>
        <w:tc>
          <w:tcPr>
            <w:tcW w:w="1800" w:type="dxa"/>
            <w:tcBorders>
              <w:top w:val="single" w:sz="4" w:space="0" w:color="auto"/>
              <w:bottom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291.68 (2.46%)</w:t>
            </w:r>
          </w:p>
        </w:tc>
        <w:tc>
          <w:tcPr>
            <w:tcW w:w="9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126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11,837.29</w:t>
            </w:r>
          </w:p>
        </w:tc>
      </w:tr>
      <w:tr w:rsidR="005130C0" w:rsidRPr="00111B84" w:rsidTr="003507F1">
        <w:trPr>
          <w:trHeight w:val="530"/>
          <w:jc w:val="center"/>
        </w:trPr>
        <w:tc>
          <w:tcPr>
            <w:tcW w:w="1013"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2068/69</w:t>
            </w:r>
          </w:p>
        </w:tc>
        <w:tc>
          <w:tcPr>
            <w:tcW w:w="1980"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5636.16 (46.26%)</w:t>
            </w:r>
          </w:p>
        </w:tc>
        <w:tc>
          <w:tcPr>
            <w:tcW w:w="1980" w:type="dxa"/>
            <w:tcBorders>
              <w:top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5681.05(46.63%)</w:t>
            </w:r>
          </w:p>
        </w:tc>
        <w:tc>
          <w:tcPr>
            <w:tcW w:w="1800" w:type="dxa"/>
            <w:tcBorders>
              <w:top w:val="single" w:sz="4" w:space="0" w:color="auto"/>
            </w:tcBorders>
          </w:tcPr>
          <w:p w:rsidR="005130C0" w:rsidRPr="00111B84" w:rsidRDefault="005130C0" w:rsidP="00DE74A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867.30 (7.12%)</w:t>
            </w:r>
          </w:p>
        </w:tc>
        <w:tc>
          <w:tcPr>
            <w:tcW w:w="99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126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12,184.52</w:t>
            </w:r>
          </w:p>
        </w:tc>
      </w:tr>
    </w:tbl>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that Non-Interest Bearing Account of SCBNL for the period between 2064/65-2068/69. From the figures presented in the table, it has been observed that the local currency for non-interest bearing of SCBNL has the highest index of 57.99% during the year of 2064/65 and second  highest index is 55.45% whereas Margin Deposit has least index of 2.46% of in the year 2064/65 (base year).   </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the highest total Non-Interest Bearing is seen during the year of 2068/69 of 12184.52 million and least is 6580.82million non-interest bearing was found in the year 2065/66. According to the table, a medium index was found in foreign currency of Non-Interest Bearing Account during five years.</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noProof/>
          <w:sz w:val="24"/>
          <w:szCs w:val="24"/>
          <w:lang w:bidi="ne-NP"/>
        </w:rPr>
        <w:lastRenderedPageBreak/>
        <w:drawing>
          <wp:inline distT="0" distB="0" distL="0" distR="0">
            <wp:extent cx="5486400" cy="2590800"/>
            <wp:effectExtent l="19050" t="0" r="19050" b="0"/>
            <wp:docPr id="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130C0"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4</w:t>
      </w:r>
    </w:p>
    <w:p w:rsidR="001D5E07" w:rsidRPr="00111B84" w:rsidRDefault="001D5E07" w:rsidP="00D25535">
      <w:pPr>
        <w:tabs>
          <w:tab w:val="left" w:pos="3208"/>
        </w:tabs>
        <w:spacing w:after="0" w:line="360" w:lineRule="auto"/>
        <w:jc w:val="center"/>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This figure clearly shows the composition of non-interest bearing accounts Standard Chartered Bank Nepal Limited which is increasing trend and reached to the peak of 12184.52 million during the year of 2068/69 whereas at initial it was lowest amount of only 6648.60 million and after this, it remains almost same level till 2066/67. </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share ownership of this bank might be upward position in future by seeing the previous five years data because from the base year, it is remarkably reached at peak of 12184.52 million from 6648.60 million of its non-interest baring account.</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Table No 4.14</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Interest Bearing Accounts</w:t>
      </w:r>
    </w:p>
    <w:tbl>
      <w:tblPr>
        <w:tblW w:w="9473"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7"/>
        <w:gridCol w:w="1946"/>
        <w:gridCol w:w="1867"/>
        <w:gridCol w:w="1890"/>
        <w:gridCol w:w="1227"/>
        <w:gridCol w:w="1496"/>
      </w:tblGrid>
      <w:tr w:rsidR="005130C0" w:rsidRPr="00111B84" w:rsidTr="00330A96">
        <w:trPr>
          <w:trHeight w:val="432"/>
          <w:jc w:val="center"/>
        </w:trPr>
        <w:tc>
          <w:tcPr>
            <w:tcW w:w="1047" w:type="dxa"/>
            <w:tcBorders>
              <w:top w:val="single" w:sz="2" w:space="0" w:color="auto"/>
              <w:bottom w:val="single" w:sz="4" w:space="0" w:color="auto"/>
            </w:tcBorders>
          </w:tcPr>
          <w:p w:rsidR="005130C0" w:rsidRPr="00A716BA" w:rsidRDefault="005130C0" w:rsidP="00D25535">
            <w:pPr>
              <w:tabs>
                <w:tab w:val="left" w:pos="3208"/>
              </w:tabs>
              <w:spacing w:after="0" w:line="360" w:lineRule="auto"/>
              <w:jc w:val="center"/>
              <w:rPr>
                <w:rFonts w:ascii="Times New Roman" w:hAnsi="Times New Roman" w:cs="Times New Roman"/>
                <w:b/>
              </w:rPr>
            </w:pPr>
            <w:r w:rsidRPr="00A716BA">
              <w:rPr>
                <w:rFonts w:ascii="Times New Roman" w:hAnsi="Times New Roman" w:cs="Times New Roman"/>
                <w:b/>
              </w:rPr>
              <w:t>Year</w:t>
            </w:r>
          </w:p>
        </w:tc>
        <w:tc>
          <w:tcPr>
            <w:tcW w:w="1946" w:type="dxa"/>
            <w:tcBorders>
              <w:top w:val="single" w:sz="2" w:space="0" w:color="auto"/>
              <w:bottom w:val="single" w:sz="4" w:space="0" w:color="auto"/>
            </w:tcBorders>
          </w:tcPr>
          <w:p w:rsidR="005130C0" w:rsidRPr="00A716BA" w:rsidRDefault="005130C0" w:rsidP="00D25535">
            <w:pPr>
              <w:tabs>
                <w:tab w:val="left" w:pos="3208"/>
              </w:tabs>
              <w:spacing w:after="0" w:line="360" w:lineRule="auto"/>
              <w:ind w:right="-288"/>
              <w:rPr>
                <w:rFonts w:ascii="Times New Roman" w:hAnsi="Times New Roman" w:cs="Times New Roman"/>
                <w:b/>
              </w:rPr>
            </w:pPr>
            <w:r w:rsidRPr="00A716BA">
              <w:rPr>
                <w:rFonts w:ascii="Times New Roman" w:hAnsi="Times New Roman" w:cs="Times New Roman"/>
                <w:b/>
              </w:rPr>
              <w:t>Saving Deposits</w:t>
            </w:r>
          </w:p>
        </w:tc>
        <w:tc>
          <w:tcPr>
            <w:tcW w:w="1867" w:type="dxa"/>
            <w:tcBorders>
              <w:top w:val="single" w:sz="2" w:space="0" w:color="auto"/>
              <w:bottom w:val="single" w:sz="4" w:space="0" w:color="auto"/>
            </w:tcBorders>
          </w:tcPr>
          <w:p w:rsidR="005130C0" w:rsidRPr="00A716BA" w:rsidRDefault="005130C0" w:rsidP="00D25535">
            <w:pPr>
              <w:tabs>
                <w:tab w:val="left" w:pos="3208"/>
              </w:tabs>
              <w:spacing w:after="0" w:line="360" w:lineRule="auto"/>
              <w:ind w:right="-288"/>
              <w:rPr>
                <w:rFonts w:ascii="Times New Roman" w:hAnsi="Times New Roman" w:cs="Times New Roman"/>
                <w:b/>
              </w:rPr>
            </w:pPr>
            <w:r w:rsidRPr="00A716BA">
              <w:rPr>
                <w:rFonts w:ascii="Times New Roman" w:hAnsi="Times New Roman" w:cs="Times New Roman"/>
                <w:b/>
              </w:rPr>
              <w:t>Fixed Deposits</w:t>
            </w:r>
          </w:p>
        </w:tc>
        <w:tc>
          <w:tcPr>
            <w:tcW w:w="1890" w:type="dxa"/>
            <w:tcBorders>
              <w:top w:val="single" w:sz="2" w:space="0" w:color="auto"/>
              <w:bottom w:val="single" w:sz="4" w:space="0" w:color="auto"/>
            </w:tcBorders>
          </w:tcPr>
          <w:p w:rsidR="005130C0" w:rsidRPr="00A716BA" w:rsidRDefault="005130C0" w:rsidP="00D25535">
            <w:pPr>
              <w:tabs>
                <w:tab w:val="left" w:pos="3208"/>
              </w:tabs>
              <w:spacing w:after="0" w:line="360" w:lineRule="auto"/>
              <w:ind w:right="-288"/>
              <w:rPr>
                <w:rFonts w:ascii="Times New Roman" w:hAnsi="Times New Roman" w:cs="Times New Roman"/>
                <w:b/>
              </w:rPr>
            </w:pPr>
            <w:r w:rsidRPr="00A716BA">
              <w:rPr>
                <w:rFonts w:ascii="Times New Roman" w:hAnsi="Times New Roman" w:cs="Times New Roman"/>
                <w:b/>
              </w:rPr>
              <w:t>Call Deposits</w:t>
            </w:r>
          </w:p>
        </w:tc>
        <w:tc>
          <w:tcPr>
            <w:tcW w:w="1227" w:type="dxa"/>
            <w:tcBorders>
              <w:top w:val="single" w:sz="2" w:space="0" w:color="auto"/>
              <w:bottom w:val="single" w:sz="4" w:space="0" w:color="auto"/>
            </w:tcBorders>
          </w:tcPr>
          <w:p w:rsidR="005130C0" w:rsidRPr="00A716BA" w:rsidRDefault="005130C0" w:rsidP="00D25535">
            <w:pPr>
              <w:tabs>
                <w:tab w:val="left" w:pos="3208"/>
              </w:tabs>
              <w:spacing w:after="0" w:line="360" w:lineRule="auto"/>
              <w:ind w:right="-288"/>
              <w:rPr>
                <w:rFonts w:ascii="Times New Roman" w:hAnsi="Times New Roman" w:cs="Times New Roman"/>
                <w:b/>
              </w:rPr>
            </w:pPr>
            <w:r w:rsidRPr="00A716BA">
              <w:rPr>
                <w:rFonts w:ascii="Times New Roman" w:hAnsi="Times New Roman" w:cs="Times New Roman"/>
                <w:b/>
              </w:rPr>
              <w:t>Certificate of Deposits</w:t>
            </w:r>
          </w:p>
        </w:tc>
        <w:tc>
          <w:tcPr>
            <w:tcW w:w="1496" w:type="dxa"/>
            <w:tcBorders>
              <w:top w:val="single" w:sz="2" w:space="0" w:color="auto"/>
              <w:bottom w:val="single" w:sz="4" w:space="0" w:color="auto"/>
            </w:tcBorders>
          </w:tcPr>
          <w:p w:rsidR="005130C0" w:rsidRPr="00A716BA" w:rsidRDefault="005130C0" w:rsidP="00D25535">
            <w:pPr>
              <w:tabs>
                <w:tab w:val="left" w:pos="3208"/>
              </w:tabs>
              <w:spacing w:after="0" w:line="360" w:lineRule="auto"/>
              <w:ind w:right="-288"/>
              <w:rPr>
                <w:rFonts w:ascii="Times New Roman" w:hAnsi="Times New Roman" w:cs="Times New Roman"/>
                <w:b/>
              </w:rPr>
            </w:pPr>
            <w:r w:rsidRPr="00A716BA">
              <w:rPr>
                <w:rFonts w:ascii="Times New Roman" w:hAnsi="Times New Roman" w:cs="Times New Roman"/>
                <w:b/>
              </w:rPr>
              <w:t xml:space="preserve">     Total</w:t>
            </w:r>
          </w:p>
        </w:tc>
      </w:tr>
      <w:tr w:rsidR="005130C0" w:rsidRPr="00111B84" w:rsidTr="00330A96">
        <w:trPr>
          <w:trHeight w:val="377"/>
          <w:jc w:val="center"/>
        </w:trPr>
        <w:tc>
          <w:tcPr>
            <w:tcW w:w="1047" w:type="dxa"/>
            <w:tcBorders>
              <w:top w:val="single" w:sz="4" w:space="0" w:color="auto"/>
              <w:bottom w:val="single" w:sz="4" w:space="0" w:color="auto"/>
            </w:tcBorders>
          </w:tcPr>
          <w:p w:rsidR="005130C0" w:rsidRPr="00A716BA" w:rsidRDefault="005130C0" w:rsidP="00D25535">
            <w:pPr>
              <w:pBdr>
                <w:bar w:val="single" w:sz="4" w:color="auto"/>
              </w:pBdr>
              <w:tabs>
                <w:tab w:val="left" w:pos="3208"/>
              </w:tabs>
              <w:spacing w:after="0" w:line="360" w:lineRule="auto"/>
              <w:jc w:val="both"/>
              <w:rPr>
                <w:rFonts w:ascii="Times New Roman" w:hAnsi="Times New Roman" w:cs="Times New Roman"/>
              </w:rPr>
            </w:pPr>
            <w:r w:rsidRPr="00A716BA">
              <w:rPr>
                <w:rFonts w:ascii="Times New Roman" w:hAnsi="Times New Roman" w:cs="Times New Roman"/>
              </w:rPr>
              <w:t>2064/65</w:t>
            </w:r>
          </w:p>
        </w:tc>
        <w:tc>
          <w:tcPr>
            <w:tcW w:w="1946" w:type="dxa"/>
            <w:tcBorders>
              <w:top w:val="single" w:sz="4" w:space="0" w:color="auto"/>
              <w:bottom w:val="single" w:sz="4" w:space="0" w:color="auto"/>
            </w:tcBorders>
          </w:tcPr>
          <w:p w:rsidR="005130C0" w:rsidRPr="00A716BA" w:rsidRDefault="005130C0" w:rsidP="00330A96">
            <w:pPr>
              <w:tabs>
                <w:tab w:val="left" w:pos="3208"/>
              </w:tabs>
              <w:spacing w:after="0" w:line="360" w:lineRule="auto"/>
              <w:rPr>
                <w:rFonts w:ascii="Times New Roman" w:hAnsi="Times New Roman" w:cs="Times New Roman"/>
              </w:rPr>
            </w:pPr>
            <w:r w:rsidRPr="00A716BA">
              <w:rPr>
                <w:rFonts w:ascii="Times New Roman" w:hAnsi="Times New Roman" w:cs="Times New Roman"/>
              </w:rPr>
              <w:t>17856.1(77.31%)</w:t>
            </w:r>
          </w:p>
        </w:tc>
        <w:tc>
          <w:tcPr>
            <w:tcW w:w="1867" w:type="dxa"/>
            <w:tcBorders>
              <w:top w:val="single" w:sz="4" w:space="0" w:color="auto"/>
              <w:bottom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3301.01(14.29%)</w:t>
            </w:r>
          </w:p>
        </w:tc>
        <w:tc>
          <w:tcPr>
            <w:tcW w:w="1890" w:type="dxa"/>
            <w:tcBorders>
              <w:top w:val="single" w:sz="4" w:space="0" w:color="auto"/>
              <w:bottom w:val="single" w:sz="4" w:space="0" w:color="auto"/>
            </w:tcBorders>
          </w:tcPr>
          <w:p w:rsidR="005130C0" w:rsidRPr="00A716BA" w:rsidRDefault="005130C0" w:rsidP="007C5516">
            <w:pPr>
              <w:tabs>
                <w:tab w:val="left" w:pos="3208"/>
              </w:tabs>
              <w:spacing w:after="0" w:line="360" w:lineRule="auto"/>
              <w:rPr>
                <w:rFonts w:ascii="Times New Roman" w:hAnsi="Times New Roman" w:cs="Times New Roman"/>
              </w:rPr>
            </w:pPr>
            <w:r w:rsidRPr="00A716BA">
              <w:rPr>
                <w:rFonts w:ascii="Times New Roman" w:hAnsi="Times New Roman" w:cs="Times New Roman"/>
              </w:rPr>
              <w:t>1938.25 (8.39%)</w:t>
            </w:r>
          </w:p>
        </w:tc>
        <w:tc>
          <w:tcPr>
            <w:tcW w:w="1227"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_</w:t>
            </w:r>
          </w:p>
        </w:tc>
        <w:tc>
          <w:tcPr>
            <w:tcW w:w="149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23095.39</w:t>
            </w:r>
          </w:p>
        </w:tc>
      </w:tr>
      <w:tr w:rsidR="005130C0" w:rsidRPr="00111B84" w:rsidTr="00330A96">
        <w:trPr>
          <w:trHeight w:val="402"/>
          <w:jc w:val="center"/>
        </w:trPr>
        <w:tc>
          <w:tcPr>
            <w:tcW w:w="1047" w:type="dxa"/>
            <w:tcBorders>
              <w:top w:val="single" w:sz="4" w:space="0" w:color="auto"/>
              <w:bottom w:val="single" w:sz="4" w:space="0" w:color="auto"/>
            </w:tcBorders>
          </w:tcPr>
          <w:p w:rsidR="005130C0" w:rsidRPr="00A716BA" w:rsidRDefault="005130C0" w:rsidP="00D25535">
            <w:pPr>
              <w:pBdr>
                <w:bar w:val="single" w:sz="4" w:color="auto"/>
              </w:pBdr>
              <w:tabs>
                <w:tab w:val="left" w:pos="3208"/>
              </w:tabs>
              <w:spacing w:after="0" w:line="360" w:lineRule="auto"/>
              <w:jc w:val="both"/>
              <w:rPr>
                <w:rFonts w:ascii="Times New Roman" w:hAnsi="Times New Roman" w:cs="Times New Roman"/>
              </w:rPr>
            </w:pPr>
            <w:r w:rsidRPr="00A716BA">
              <w:rPr>
                <w:rFonts w:ascii="Times New Roman" w:hAnsi="Times New Roman" w:cs="Times New Roman"/>
              </w:rPr>
              <w:t>2065/66</w:t>
            </w:r>
          </w:p>
        </w:tc>
        <w:tc>
          <w:tcPr>
            <w:tcW w:w="194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19187.64(65.51%)</w:t>
            </w:r>
          </w:p>
        </w:tc>
        <w:tc>
          <w:tcPr>
            <w:tcW w:w="1867" w:type="dxa"/>
            <w:tcBorders>
              <w:top w:val="single" w:sz="4" w:space="0" w:color="auto"/>
              <w:bottom w:val="single" w:sz="4" w:space="0" w:color="auto"/>
            </w:tcBorders>
          </w:tcPr>
          <w:p w:rsidR="005130C0" w:rsidRPr="00A716BA" w:rsidRDefault="005130C0" w:rsidP="007C5516">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7101.69(24.25%)</w:t>
            </w:r>
          </w:p>
        </w:tc>
        <w:tc>
          <w:tcPr>
            <w:tcW w:w="1890" w:type="dxa"/>
            <w:tcBorders>
              <w:top w:val="single" w:sz="4" w:space="0" w:color="auto"/>
              <w:bottom w:val="single" w:sz="4" w:space="0" w:color="auto"/>
            </w:tcBorders>
          </w:tcPr>
          <w:p w:rsidR="005130C0" w:rsidRPr="00A716BA" w:rsidRDefault="005130C0" w:rsidP="007C5516">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3001.57 (10.25%)</w:t>
            </w:r>
          </w:p>
        </w:tc>
        <w:tc>
          <w:tcPr>
            <w:tcW w:w="1227"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_</w:t>
            </w:r>
          </w:p>
        </w:tc>
        <w:tc>
          <w:tcPr>
            <w:tcW w:w="149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29290.90</w:t>
            </w:r>
          </w:p>
        </w:tc>
      </w:tr>
      <w:tr w:rsidR="005130C0" w:rsidRPr="00111B84" w:rsidTr="00330A96">
        <w:trPr>
          <w:trHeight w:val="343"/>
          <w:jc w:val="center"/>
        </w:trPr>
        <w:tc>
          <w:tcPr>
            <w:tcW w:w="1047" w:type="dxa"/>
            <w:tcBorders>
              <w:top w:val="single" w:sz="4" w:space="0" w:color="auto"/>
              <w:bottom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2066/67</w:t>
            </w:r>
          </w:p>
        </w:tc>
        <w:tc>
          <w:tcPr>
            <w:tcW w:w="194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12430.01(49.39%)</w:t>
            </w:r>
          </w:p>
        </w:tc>
        <w:tc>
          <w:tcPr>
            <w:tcW w:w="1867" w:type="dxa"/>
            <w:tcBorders>
              <w:top w:val="single" w:sz="4" w:space="0" w:color="auto"/>
              <w:bottom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9175.07(36.45%)</w:t>
            </w:r>
          </w:p>
        </w:tc>
        <w:tc>
          <w:tcPr>
            <w:tcW w:w="1890"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3563.24 (14.16%)</w:t>
            </w:r>
          </w:p>
        </w:tc>
        <w:tc>
          <w:tcPr>
            <w:tcW w:w="1227" w:type="dxa"/>
            <w:tcBorders>
              <w:top w:val="single" w:sz="4" w:space="0" w:color="auto"/>
              <w:bottom w:val="single" w:sz="4" w:space="0" w:color="auto"/>
            </w:tcBorders>
          </w:tcPr>
          <w:p w:rsidR="005130C0" w:rsidRPr="00A716BA" w:rsidRDefault="001D5E07" w:rsidP="00D25535">
            <w:pPr>
              <w:tabs>
                <w:tab w:val="left" w:pos="3208"/>
              </w:tabs>
              <w:spacing w:after="0" w:line="360" w:lineRule="auto"/>
              <w:jc w:val="right"/>
              <w:rPr>
                <w:rFonts w:ascii="Times New Roman" w:hAnsi="Times New Roman" w:cs="Times New Roman"/>
                <w:b/>
              </w:rPr>
            </w:pPr>
            <w:r>
              <w:rPr>
                <w:rFonts w:ascii="Times New Roman" w:hAnsi="Times New Roman" w:cs="Times New Roman"/>
                <w:b/>
              </w:rPr>
              <w:t xml:space="preserve">               </w:t>
            </w:r>
            <w:r w:rsidR="005130C0" w:rsidRPr="00A716BA">
              <w:rPr>
                <w:rFonts w:ascii="Times New Roman" w:hAnsi="Times New Roman" w:cs="Times New Roman"/>
                <w:b/>
              </w:rPr>
              <w:t>_</w:t>
            </w:r>
          </w:p>
        </w:tc>
        <w:tc>
          <w:tcPr>
            <w:tcW w:w="149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25168.32</w:t>
            </w:r>
          </w:p>
        </w:tc>
      </w:tr>
      <w:tr w:rsidR="005130C0" w:rsidRPr="00111B84" w:rsidTr="00330A96">
        <w:trPr>
          <w:trHeight w:val="312"/>
          <w:jc w:val="center"/>
        </w:trPr>
        <w:tc>
          <w:tcPr>
            <w:tcW w:w="1047" w:type="dxa"/>
            <w:tcBorders>
              <w:top w:val="single" w:sz="4" w:space="0" w:color="auto"/>
              <w:bottom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2067/68</w:t>
            </w:r>
          </w:p>
        </w:tc>
        <w:tc>
          <w:tcPr>
            <w:tcW w:w="194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11619.81(44.41%)</w:t>
            </w:r>
          </w:p>
        </w:tc>
        <w:tc>
          <w:tcPr>
            <w:tcW w:w="1867" w:type="dxa"/>
            <w:tcBorders>
              <w:top w:val="single" w:sz="4" w:space="0" w:color="auto"/>
              <w:bottom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10136.24(38.74%)</w:t>
            </w:r>
          </w:p>
        </w:tc>
        <w:tc>
          <w:tcPr>
            <w:tcW w:w="1890" w:type="dxa"/>
            <w:tcBorders>
              <w:top w:val="single" w:sz="4" w:space="0" w:color="auto"/>
              <w:bottom w:val="single" w:sz="4" w:space="0" w:color="auto"/>
            </w:tcBorders>
          </w:tcPr>
          <w:p w:rsidR="005130C0" w:rsidRPr="00A716BA" w:rsidRDefault="005130C0" w:rsidP="007C5516">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4405.89 (16.84%)</w:t>
            </w:r>
          </w:p>
        </w:tc>
        <w:tc>
          <w:tcPr>
            <w:tcW w:w="1227"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_</w:t>
            </w:r>
          </w:p>
        </w:tc>
        <w:tc>
          <w:tcPr>
            <w:tcW w:w="1496" w:type="dxa"/>
            <w:tcBorders>
              <w:top w:val="single" w:sz="4" w:space="0" w:color="auto"/>
              <w:bottom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26161.95</w:t>
            </w:r>
          </w:p>
        </w:tc>
      </w:tr>
      <w:tr w:rsidR="005130C0" w:rsidRPr="00111B84" w:rsidTr="00330A96">
        <w:trPr>
          <w:trHeight w:val="337"/>
          <w:jc w:val="center"/>
        </w:trPr>
        <w:tc>
          <w:tcPr>
            <w:tcW w:w="1047" w:type="dxa"/>
            <w:tcBorders>
              <w:top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2068/69</w:t>
            </w:r>
          </w:p>
        </w:tc>
        <w:tc>
          <w:tcPr>
            <w:tcW w:w="1946" w:type="dxa"/>
            <w:tcBorders>
              <w:top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15502.31(65.09%)</w:t>
            </w:r>
          </w:p>
        </w:tc>
        <w:tc>
          <w:tcPr>
            <w:tcW w:w="1867" w:type="dxa"/>
            <w:tcBorders>
              <w:top w:val="single" w:sz="4" w:space="0" w:color="auto"/>
            </w:tcBorders>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4661.26 (19.60%)</w:t>
            </w:r>
          </w:p>
        </w:tc>
        <w:tc>
          <w:tcPr>
            <w:tcW w:w="1890" w:type="dxa"/>
            <w:tcBorders>
              <w:top w:val="single" w:sz="4" w:space="0" w:color="auto"/>
            </w:tcBorders>
          </w:tcPr>
          <w:p w:rsidR="005130C0" w:rsidRPr="00A716BA" w:rsidRDefault="005130C0" w:rsidP="007C5516">
            <w:pPr>
              <w:tabs>
                <w:tab w:val="left" w:pos="3208"/>
              </w:tabs>
              <w:spacing w:after="0" w:line="360" w:lineRule="auto"/>
              <w:jc w:val="center"/>
              <w:rPr>
                <w:rFonts w:ascii="Times New Roman" w:hAnsi="Times New Roman" w:cs="Times New Roman"/>
              </w:rPr>
            </w:pPr>
            <w:r w:rsidRPr="00A716BA">
              <w:rPr>
                <w:rFonts w:ascii="Times New Roman" w:hAnsi="Times New Roman" w:cs="Times New Roman"/>
              </w:rPr>
              <w:t>3617.54 (15.21%)</w:t>
            </w:r>
          </w:p>
        </w:tc>
        <w:tc>
          <w:tcPr>
            <w:tcW w:w="1227" w:type="dxa"/>
            <w:tcBorders>
              <w:top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rPr>
            </w:pPr>
            <w:r w:rsidRPr="00A716BA">
              <w:rPr>
                <w:rFonts w:ascii="Times New Roman" w:hAnsi="Times New Roman" w:cs="Times New Roman"/>
              </w:rPr>
              <w:t>_</w:t>
            </w:r>
          </w:p>
        </w:tc>
        <w:tc>
          <w:tcPr>
            <w:tcW w:w="1496" w:type="dxa"/>
            <w:tcBorders>
              <w:top w:val="single" w:sz="4" w:space="0" w:color="auto"/>
            </w:tcBorders>
          </w:tcPr>
          <w:p w:rsidR="005130C0" w:rsidRPr="00A716BA" w:rsidRDefault="005130C0" w:rsidP="00D25535">
            <w:pPr>
              <w:tabs>
                <w:tab w:val="left" w:pos="3208"/>
              </w:tabs>
              <w:spacing w:after="0" w:line="360" w:lineRule="auto"/>
              <w:jc w:val="right"/>
              <w:rPr>
                <w:rFonts w:ascii="Times New Roman" w:hAnsi="Times New Roman" w:cs="Times New Roman"/>
                <w:b/>
              </w:rPr>
            </w:pPr>
            <w:r w:rsidRPr="00A716BA">
              <w:rPr>
                <w:rFonts w:ascii="Times New Roman" w:hAnsi="Times New Roman" w:cs="Times New Roman"/>
                <w:b/>
              </w:rPr>
              <w:t>23781.11</w:t>
            </w:r>
          </w:p>
        </w:tc>
      </w:tr>
    </w:tbl>
    <w:p w:rsidR="005130C0" w:rsidRPr="00111B84" w:rsidRDefault="005130C0" w:rsidP="00D25535">
      <w:pPr>
        <w:tabs>
          <w:tab w:val="left" w:pos="3208"/>
        </w:tabs>
        <w:spacing w:after="0" w:line="360" w:lineRule="auto"/>
        <w:rPr>
          <w:rFonts w:ascii="Times New Roman" w:hAnsi="Times New Roman" w:cs="Times New Roman"/>
          <w:sz w:val="24"/>
          <w:szCs w:val="24"/>
        </w:rPr>
      </w:pP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 xml:space="preserve">Table shows the Interest Bearing Account of SCBNL for the period between 2064/65-2068/69. From the figures presented in the table, it has been observed that the saving deposit for interest bearing account of SCBNL has the highest index of 77.31% during the year of 2064/65 and second  highest is 65.51% whereas Call Deposit has least index of 8.39%  in the year 2064/65 (base year).   </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the total Interest Bearing is seen maximum during the year of 2065/66, amount of 29290.90 million and least is 23095.39 million of interest bearing was found in the year 2064/65. According to the table, a medium index was found in call deposit of Interest Bearing Account during five years time.</w:t>
      </w:r>
    </w:p>
    <w:p w:rsidR="003507F1" w:rsidRPr="00111B84" w:rsidRDefault="003507F1"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noProof/>
          <w:sz w:val="24"/>
          <w:szCs w:val="24"/>
          <w:lang w:bidi="ne-NP"/>
        </w:rPr>
        <w:drawing>
          <wp:inline distT="0" distB="0" distL="0" distR="0">
            <wp:extent cx="5210175" cy="2828925"/>
            <wp:effectExtent l="19050" t="0" r="9525" b="0"/>
            <wp:docPr id="1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5</w:t>
      </w:r>
    </w:p>
    <w:p w:rsidR="00A716BA" w:rsidRDefault="00A716BA"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figure no.5 clearly shows the total of interest bearing accounts Standard Chartered Bank Nepal Limited, at the starting year from 2064/65 to 2065/66, it was sharply increased and reached at the peak of 29290.90 million rupees which is the highest amount in the half decade of the fiscal five years period year and after this there seems to be downward fluctuation till the year 2068/69 and almost met the initial phase of the decreasing trend of the interest bearing account.</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According to the chart, it can be predicted that interest bearing account of this bank might be fluctuation position in future by seeing the previous five years data because </w:t>
      </w:r>
      <w:r w:rsidRPr="00111B84">
        <w:rPr>
          <w:rFonts w:ascii="Times New Roman" w:hAnsi="Times New Roman" w:cs="Times New Roman"/>
          <w:sz w:val="24"/>
          <w:szCs w:val="24"/>
        </w:rPr>
        <w:lastRenderedPageBreak/>
        <w:t>from the base year, it is remarkably reached at peak of 29290.90 million from 23095.39 of its interest baring account.</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Table No 4.15</w:t>
      </w:r>
    </w:p>
    <w:p w:rsidR="005130C0" w:rsidRPr="00111B84" w:rsidRDefault="005130C0" w:rsidP="00D25535">
      <w:pPr>
        <w:tabs>
          <w:tab w:val="left" w:pos="3208"/>
        </w:tabs>
        <w:spacing w:after="0" w:line="360" w:lineRule="auto"/>
        <w:jc w:val="center"/>
        <w:rPr>
          <w:rFonts w:ascii="Times New Roman" w:hAnsi="Times New Roman" w:cs="Times New Roman"/>
          <w:sz w:val="24"/>
          <w:szCs w:val="24"/>
        </w:rPr>
      </w:pPr>
      <w:r w:rsidRPr="00111B84">
        <w:rPr>
          <w:rFonts w:ascii="Times New Roman" w:hAnsi="Times New Roman" w:cs="Times New Roman"/>
          <w:b/>
          <w:sz w:val="24"/>
          <w:szCs w:val="24"/>
        </w:rPr>
        <w:t>Investment Structure Composition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1080"/>
        <w:gridCol w:w="1080"/>
        <w:gridCol w:w="1080"/>
        <w:gridCol w:w="1080"/>
        <w:gridCol w:w="1080"/>
      </w:tblGrid>
      <w:tr w:rsidR="005130C0" w:rsidRPr="00111B84" w:rsidTr="005130C0">
        <w:trPr>
          <w:trHeight w:val="390"/>
        </w:trPr>
        <w:tc>
          <w:tcPr>
            <w:tcW w:w="3780" w:type="dxa"/>
          </w:tcPr>
          <w:p w:rsidR="005130C0" w:rsidRPr="00A716BA" w:rsidRDefault="005130C0" w:rsidP="00D25535">
            <w:pPr>
              <w:tabs>
                <w:tab w:val="left" w:pos="3208"/>
              </w:tabs>
              <w:spacing w:after="0" w:line="360" w:lineRule="auto"/>
              <w:jc w:val="center"/>
              <w:rPr>
                <w:rFonts w:ascii="Times New Roman" w:hAnsi="Times New Roman" w:cs="Times New Roman"/>
                <w:b/>
              </w:rPr>
            </w:pPr>
            <w:r w:rsidRPr="00A716BA">
              <w:rPr>
                <w:rFonts w:ascii="Times New Roman" w:hAnsi="Times New Roman" w:cs="Times New Roman"/>
                <w:b/>
              </w:rPr>
              <w:t>Composition</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2064/65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2065/66</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2066/67</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2067/68</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2068/69</w:t>
            </w:r>
          </w:p>
        </w:tc>
      </w:tr>
      <w:tr w:rsidR="005130C0" w:rsidRPr="00111B84" w:rsidTr="005130C0">
        <w:trPr>
          <w:trHeight w:val="338"/>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Government of Nepal Treasury Bills</w:t>
            </w:r>
          </w:p>
        </w:tc>
        <w:tc>
          <w:tcPr>
            <w:tcW w:w="1080" w:type="dxa"/>
            <w:shd w:val="clear" w:color="auto" w:fill="auto"/>
          </w:tcPr>
          <w:p w:rsidR="005130C0" w:rsidRPr="00A716BA" w:rsidRDefault="005130C0" w:rsidP="00D25535">
            <w:pPr>
              <w:spacing w:after="0" w:line="360" w:lineRule="auto"/>
              <w:rPr>
                <w:rFonts w:ascii="Times New Roman" w:hAnsi="Times New Roman" w:cs="Times New Roman"/>
              </w:rPr>
            </w:pPr>
            <w:r w:rsidRPr="00A716BA">
              <w:rPr>
                <w:rFonts w:ascii="Times New Roman" w:hAnsi="Times New Roman" w:cs="Times New Roman"/>
              </w:rPr>
              <w:t>7157.73</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9050.99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7878.57</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9309.11</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7214.57</w:t>
            </w:r>
          </w:p>
        </w:tc>
      </w:tr>
      <w:tr w:rsidR="005130C0" w:rsidRPr="00111B84" w:rsidTr="005130C0">
        <w:trPr>
          <w:trHeight w:val="337"/>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Government of Nepal Saving Bonds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917.15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917.15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648.15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r>
      <w:tr w:rsidR="005130C0" w:rsidRPr="00111B84" w:rsidTr="005130C0">
        <w:trPr>
          <w:trHeight w:val="298"/>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Government of Nepal Others Securities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62.73</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30.62</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4.79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648.15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648.15</w:t>
            </w:r>
          </w:p>
        </w:tc>
      </w:tr>
      <w:tr w:rsidR="005130C0" w:rsidRPr="00111B84" w:rsidTr="005130C0">
        <w:trPr>
          <w:trHeight w:val="312"/>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Nepal Rastra Bank Bonds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r>
      <w:tr w:rsidR="005130C0" w:rsidRPr="00111B84" w:rsidTr="005130C0">
        <w:trPr>
          <w:trHeight w:val="441"/>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 xml:space="preserve">Foreign Securities </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r>
      <w:tr w:rsidR="005130C0" w:rsidRPr="00111B84" w:rsidTr="005130C0">
        <w:trPr>
          <w:trHeight w:val="185"/>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 xml:space="preserve">Local licensed Institutions </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250.61</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380.00</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r>
      <w:tr w:rsidR="005130C0" w:rsidRPr="00111B84" w:rsidTr="005130C0">
        <w:trPr>
          <w:trHeight w:val="439"/>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Foreign Banks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5675.04</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9895.71</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10844.95</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7207.88</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4981.96</w:t>
            </w:r>
          </w:p>
        </w:tc>
      </w:tr>
      <w:tr w:rsidR="005130C0" w:rsidRPr="00111B84" w:rsidTr="005130C0">
        <w:trPr>
          <w:trHeight w:val="402"/>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Corporate Shares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106.04</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106.92</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106.93</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109.43</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109.43</w:t>
            </w:r>
          </w:p>
        </w:tc>
      </w:tr>
      <w:tr w:rsidR="005130C0" w:rsidRPr="00111B84" w:rsidTr="005130C0">
        <w:trPr>
          <w:trHeight w:val="403"/>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Corporate Debenture and Bonds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8.49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8.49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8.49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8.49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8.49</w:t>
            </w:r>
          </w:p>
        </w:tc>
      </w:tr>
      <w:tr w:rsidR="005130C0" w:rsidRPr="00111B84" w:rsidTr="005130C0">
        <w:trPr>
          <w:trHeight w:val="454"/>
        </w:trPr>
        <w:tc>
          <w:tcPr>
            <w:tcW w:w="3780" w:type="dxa"/>
          </w:tcPr>
          <w:p w:rsidR="005130C0" w:rsidRPr="00A716BA" w:rsidRDefault="005130C0" w:rsidP="00D25535">
            <w:pPr>
              <w:tabs>
                <w:tab w:val="left" w:pos="3208"/>
              </w:tabs>
              <w:spacing w:after="0" w:line="360" w:lineRule="auto"/>
              <w:rPr>
                <w:rFonts w:ascii="Times New Roman" w:hAnsi="Times New Roman" w:cs="Times New Roman"/>
              </w:rPr>
            </w:pPr>
            <w:r w:rsidRPr="00A716BA">
              <w:rPr>
                <w:rFonts w:ascii="Times New Roman" w:hAnsi="Times New Roman" w:cs="Times New Roman"/>
              </w:rPr>
              <w:t>Other Investments</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rPr>
            </w:pPr>
            <w:r w:rsidRPr="00A716BA">
              <w:rPr>
                <w:rFonts w:ascii="Times New Roman" w:hAnsi="Times New Roman" w:cs="Times New Roman"/>
              </w:rPr>
              <w:t>_</w:t>
            </w:r>
          </w:p>
        </w:tc>
      </w:tr>
      <w:tr w:rsidR="005130C0" w:rsidRPr="00111B84" w:rsidTr="005130C0">
        <w:trPr>
          <w:trHeight w:val="285"/>
        </w:trPr>
        <w:tc>
          <w:tcPr>
            <w:tcW w:w="3780" w:type="dxa"/>
          </w:tcPr>
          <w:p w:rsidR="005130C0" w:rsidRPr="00A716BA" w:rsidRDefault="005130C0" w:rsidP="00D25535">
            <w:pPr>
              <w:tabs>
                <w:tab w:val="left" w:pos="3208"/>
              </w:tabs>
              <w:spacing w:after="0" w:line="360" w:lineRule="auto"/>
              <w:jc w:val="center"/>
              <w:rPr>
                <w:rFonts w:ascii="Times New Roman" w:hAnsi="Times New Roman" w:cs="Times New Roman"/>
                <w:b/>
              </w:rPr>
            </w:pPr>
            <w:r w:rsidRPr="00A716BA">
              <w:rPr>
                <w:rFonts w:ascii="Times New Roman" w:hAnsi="Times New Roman" w:cs="Times New Roman"/>
                <w:b/>
              </w:rPr>
              <w:t>Total</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13927.19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20260.49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19871.89</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17283.06</w:t>
            </w:r>
          </w:p>
        </w:tc>
        <w:tc>
          <w:tcPr>
            <w:tcW w:w="1080" w:type="dxa"/>
            <w:shd w:val="clear" w:color="auto" w:fill="auto"/>
          </w:tcPr>
          <w:p w:rsidR="005130C0" w:rsidRPr="00A716BA" w:rsidRDefault="005130C0" w:rsidP="00D25535">
            <w:pPr>
              <w:spacing w:after="0" w:line="360" w:lineRule="auto"/>
              <w:jc w:val="center"/>
              <w:rPr>
                <w:rFonts w:ascii="Times New Roman" w:hAnsi="Times New Roman" w:cs="Times New Roman"/>
                <w:b/>
              </w:rPr>
            </w:pPr>
            <w:r w:rsidRPr="00A716BA">
              <w:rPr>
                <w:rFonts w:ascii="Times New Roman" w:hAnsi="Times New Roman" w:cs="Times New Roman"/>
                <w:b/>
              </w:rPr>
              <w:t>12962.59</w:t>
            </w:r>
          </w:p>
        </w:tc>
      </w:tr>
    </w:tbl>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Default="005130C0" w:rsidP="003507F1">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the Investment Structure Composition of SCBNL for the period between 2064/65-2068/69. From the figures presented in the table, it has been observed that the Foreign banks of Investment structure has the highest amount of Rs10844.95 million  during the year of 2066/67 whereas only 4.79 million Rupees in government of Nepal others securities in the same year.   </w:t>
      </w:r>
    </w:p>
    <w:p w:rsidR="001D5E07" w:rsidRPr="00111B84" w:rsidRDefault="001D5E07" w:rsidP="003507F1">
      <w:pPr>
        <w:tabs>
          <w:tab w:val="left" w:pos="3208"/>
        </w:tabs>
        <w:spacing w:after="0" w:line="360" w:lineRule="auto"/>
        <w:jc w:val="both"/>
        <w:rPr>
          <w:rFonts w:ascii="Times New Roman" w:hAnsi="Times New Roman" w:cs="Times New Roman"/>
          <w:sz w:val="24"/>
          <w:szCs w:val="24"/>
        </w:rPr>
      </w:pPr>
    </w:p>
    <w:p w:rsidR="005130C0" w:rsidRPr="00111B84" w:rsidRDefault="005130C0" w:rsidP="003507F1">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During this period, highest investment structure composition is seen during the year of 2065/66 at the  amount of 20260.49 million rupees  and then second highest is followed by next year was 19871.89 million in the year 2066/67 and least amount of investment structure composition is only 12962.59 million was found in the year final year. This table clearly reveals that investment structure composition is fluctuating during the five years period.  </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noProof/>
          <w:sz w:val="24"/>
          <w:szCs w:val="24"/>
          <w:lang w:bidi="ne-NP"/>
        </w:rPr>
        <w:lastRenderedPageBreak/>
        <w:drawing>
          <wp:inline distT="0" distB="0" distL="0" distR="0">
            <wp:extent cx="5143500" cy="3076575"/>
            <wp:effectExtent l="19050" t="0" r="19050" b="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6</w:t>
      </w:r>
    </w:p>
    <w:p w:rsidR="00330A96" w:rsidRDefault="00330A96"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figure no.6 clearly shows the investment structure composition Standard Chartered Bank Nepal Limited, at the starting year from 2064/65 to 2065/66, it was drastically increased and reached at the peak of 20260.49 million rupees which is the highest amount in the half decade of the fiscal five years period year and after this there seems to be gradually felled down to the next year then suddenly dropped to 12962.59 million till the year 2068/69 and become below the initial phase, which is lowest amount at whole five year period.</w:t>
      </w:r>
    </w:p>
    <w:p w:rsidR="00A716BA" w:rsidRPr="00111B84" w:rsidRDefault="00A716BA"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interest bearing account of this bank might be fluctuation position in future by seeing the previous five years data because from the base year, it is remarkably reached at peak of 20260.49 million from 12962.59millions rupees of its investment structure.</w:t>
      </w:r>
    </w:p>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3507F1" w:rsidRDefault="003507F1"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lastRenderedPageBreak/>
        <w:t>Table No 4.16</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 xml:space="preserve">Loans and Advances </w:t>
      </w:r>
    </w:p>
    <w:tbl>
      <w:tblPr>
        <w:tblW w:w="0" w:type="auto"/>
        <w:tblInd w:w="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2340"/>
        <w:gridCol w:w="2790"/>
        <w:gridCol w:w="1440"/>
      </w:tblGrid>
      <w:tr w:rsidR="005130C0" w:rsidRPr="00111B84" w:rsidTr="005130C0">
        <w:trPr>
          <w:trHeight w:val="432"/>
        </w:trPr>
        <w:tc>
          <w:tcPr>
            <w:tcW w:w="1032" w:type="dxa"/>
            <w:tcBorders>
              <w:top w:val="single" w:sz="2" w:space="0" w:color="auto"/>
              <w:bottom w:val="single" w:sz="4" w:space="0" w:color="auto"/>
            </w:tcBorders>
          </w:tcPr>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Year</w:t>
            </w:r>
          </w:p>
        </w:tc>
        <w:tc>
          <w:tcPr>
            <w:tcW w:w="234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left="-144" w:right="-288"/>
              <w:jc w:val="center"/>
              <w:rPr>
                <w:rFonts w:ascii="Times New Roman" w:hAnsi="Times New Roman" w:cs="Times New Roman"/>
                <w:b/>
                <w:sz w:val="24"/>
                <w:szCs w:val="24"/>
              </w:rPr>
            </w:pPr>
            <w:r w:rsidRPr="00111B84">
              <w:rPr>
                <w:rFonts w:ascii="Times New Roman" w:hAnsi="Times New Roman" w:cs="Times New Roman"/>
                <w:b/>
                <w:sz w:val="24"/>
                <w:szCs w:val="24"/>
              </w:rPr>
              <w:t>Performing Loans</w:t>
            </w:r>
          </w:p>
        </w:tc>
        <w:tc>
          <w:tcPr>
            <w:tcW w:w="279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jc w:val="center"/>
              <w:rPr>
                <w:rFonts w:ascii="Times New Roman" w:hAnsi="Times New Roman" w:cs="Times New Roman"/>
                <w:b/>
                <w:sz w:val="24"/>
                <w:szCs w:val="24"/>
              </w:rPr>
            </w:pPr>
            <w:r w:rsidRPr="00111B84">
              <w:rPr>
                <w:rFonts w:ascii="Times New Roman" w:hAnsi="Times New Roman" w:cs="Times New Roman"/>
                <w:b/>
                <w:sz w:val="24"/>
                <w:szCs w:val="24"/>
              </w:rPr>
              <w:t>Non-performing Loans</w:t>
            </w:r>
          </w:p>
        </w:tc>
        <w:tc>
          <w:tcPr>
            <w:tcW w:w="144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 xml:space="preserve">     Total</w:t>
            </w:r>
          </w:p>
        </w:tc>
      </w:tr>
      <w:tr w:rsidR="005130C0" w:rsidRPr="00111B84" w:rsidTr="005130C0">
        <w:trPr>
          <w:trHeight w:val="324"/>
        </w:trPr>
        <w:tc>
          <w:tcPr>
            <w:tcW w:w="1032"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2064/65</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13225.86 (99.04%)</w:t>
            </w:r>
          </w:p>
        </w:tc>
        <w:tc>
          <w:tcPr>
            <w:tcW w:w="2790" w:type="dxa"/>
            <w:tcBorders>
              <w:top w:val="single" w:sz="4" w:space="0" w:color="auto"/>
              <w:bottom w:val="single" w:sz="4" w:space="0" w:color="auto"/>
            </w:tcBorders>
          </w:tcPr>
          <w:p w:rsidR="005130C0" w:rsidRPr="00111B84" w:rsidRDefault="009863E6" w:rsidP="00D25535">
            <w:pPr>
              <w:tabs>
                <w:tab w:val="left" w:pos="3208"/>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5130C0" w:rsidRPr="00111B84">
              <w:rPr>
                <w:rFonts w:ascii="Times New Roman" w:hAnsi="Times New Roman" w:cs="Times New Roman"/>
                <w:sz w:val="24"/>
                <w:szCs w:val="24"/>
              </w:rPr>
              <w:t>128.2 (0.96%)</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13354.58</w:t>
            </w:r>
          </w:p>
        </w:tc>
      </w:tr>
      <w:tr w:rsidR="005130C0" w:rsidRPr="00111B84" w:rsidTr="005130C0">
        <w:trPr>
          <w:trHeight w:val="402"/>
        </w:trPr>
        <w:tc>
          <w:tcPr>
            <w:tcW w:w="1032"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2065/66</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13027.55 (99.31%)</w:t>
            </w:r>
          </w:p>
        </w:tc>
        <w:tc>
          <w:tcPr>
            <w:tcW w:w="27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91.04 (0.69%)</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 xml:space="preserve">     13118.59</w:t>
            </w:r>
          </w:p>
        </w:tc>
      </w:tr>
      <w:tr w:rsidR="005130C0" w:rsidRPr="00111B84" w:rsidTr="005130C0">
        <w:trPr>
          <w:trHeight w:val="343"/>
        </w:trPr>
        <w:tc>
          <w:tcPr>
            <w:tcW w:w="1032"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2066/67</w:t>
            </w:r>
          </w:p>
        </w:tc>
        <w:tc>
          <w:tcPr>
            <w:tcW w:w="2340" w:type="dxa"/>
            <w:tcBorders>
              <w:top w:val="single" w:sz="4" w:space="0" w:color="auto"/>
              <w:bottom w:val="single" w:sz="4" w:space="0" w:color="auto"/>
            </w:tcBorders>
          </w:tcPr>
          <w:p w:rsidR="005130C0" w:rsidRPr="00111B84" w:rsidRDefault="009863E6" w:rsidP="00D25535">
            <w:pPr>
              <w:tabs>
                <w:tab w:val="left" w:pos="3208"/>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5130C0" w:rsidRPr="00111B84">
              <w:rPr>
                <w:rFonts w:ascii="Times New Roman" w:hAnsi="Times New Roman" w:cs="Times New Roman"/>
                <w:sz w:val="24"/>
                <w:szCs w:val="24"/>
              </w:rPr>
              <w:t>15834.03 (99.38%)</w:t>
            </w:r>
          </w:p>
        </w:tc>
        <w:tc>
          <w:tcPr>
            <w:tcW w:w="27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98.14 (0.62%)</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 xml:space="preserve">     15932.16</w:t>
            </w:r>
          </w:p>
        </w:tc>
      </w:tr>
      <w:tr w:rsidR="005130C0" w:rsidRPr="00111B84" w:rsidTr="005130C0">
        <w:trPr>
          <w:trHeight w:val="312"/>
        </w:trPr>
        <w:tc>
          <w:tcPr>
            <w:tcW w:w="1032"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2067/68</w:t>
            </w:r>
          </w:p>
        </w:tc>
        <w:tc>
          <w:tcPr>
            <w:tcW w:w="23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17582.44 (99.35%)</w:t>
            </w:r>
          </w:p>
        </w:tc>
        <w:tc>
          <w:tcPr>
            <w:tcW w:w="279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115.80(0.65%)</w:t>
            </w:r>
          </w:p>
        </w:tc>
        <w:tc>
          <w:tcPr>
            <w:tcW w:w="144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17698.24</w:t>
            </w:r>
          </w:p>
        </w:tc>
      </w:tr>
      <w:tr w:rsidR="005130C0" w:rsidRPr="00111B84" w:rsidTr="005130C0">
        <w:trPr>
          <w:trHeight w:val="337"/>
        </w:trPr>
        <w:tc>
          <w:tcPr>
            <w:tcW w:w="1032"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2068/69</w:t>
            </w:r>
          </w:p>
        </w:tc>
        <w:tc>
          <w:tcPr>
            <w:tcW w:w="234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18221.48 (99.16%)</w:t>
            </w:r>
          </w:p>
        </w:tc>
        <w:tc>
          <w:tcPr>
            <w:tcW w:w="279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154.49 (0.84%)</w:t>
            </w:r>
          </w:p>
        </w:tc>
        <w:tc>
          <w:tcPr>
            <w:tcW w:w="1440" w:type="dxa"/>
            <w:tcBorders>
              <w:top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b/>
                <w:sz w:val="24"/>
                <w:szCs w:val="24"/>
              </w:rPr>
            </w:pPr>
            <w:r w:rsidRPr="00111B84">
              <w:rPr>
                <w:rFonts w:ascii="Times New Roman" w:hAnsi="Times New Roman" w:cs="Times New Roman"/>
                <w:b/>
                <w:sz w:val="24"/>
                <w:szCs w:val="24"/>
              </w:rPr>
              <w:t>18375.97</w:t>
            </w:r>
          </w:p>
        </w:tc>
      </w:tr>
    </w:tbl>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p>
    <w:p w:rsidR="005130C0" w:rsidRDefault="005130C0" w:rsidP="003507F1">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the Loans and Advances of SCBNL for the period between 2064/65-2068/69. From the figures presented in the table, it has been observed that the Performing Loans of SCBNL has the highest index during the whole years and reached at peak point at 99.38 % in 2066/67 and the second highest is 99.35% in the following year whereas only least index was 0.62% which was found in non-performing loans for the year f 2066/67.   </w:t>
      </w:r>
    </w:p>
    <w:p w:rsidR="003507F1" w:rsidRPr="00111B84" w:rsidRDefault="003507F1" w:rsidP="003507F1">
      <w:pPr>
        <w:tabs>
          <w:tab w:val="left" w:pos="3208"/>
        </w:tabs>
        <w:spacing w:after="0" w:line="360" w:lineRule="auto"/>
        <w:jc w:val="both"/>
        <w:rPr>
          <w:rFonts w:ascii="Times New Roman" w:hAnsi="Times New Roman" w:cs="Times New Roman"/>
          <w:sz w:val="24"/>
          <w:szCs w:val="24"/>
        </w:rPr>
      </w:pPr>
    </w:p>
    <w:p w:rsidR="005130C0" w:rsidRDefault="005130C0" w:rsidP="003507F1">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the highest Loans and Advances are seen during the year of 2068/69 of 18375.97 million and least amount was 13118.59 million was found in the year 2065/66. According to the table, performing Loans is much better as comparison to the Non-performing Loans in the whole five years periods.</w:t>
      </w:r>
    </w:p>
    <w:p w:rsidR="001D5E07" w:rsidRPr="00111B84" w:rsidRDefault="001D5E07" w:rsidP="00D25535">
      <w:pPr>
        <w:tabs>
          <w:tab w:val="left" w:pos="3208"/>
        </w:tabs>
        <w:spacing w:after="0" w:line="360" w:lineRule="auto"/>
        <w:rPr>
          <w:rFonts w:ascii="Times New Roman" w:hAnsi="Times New Roman" w:cs="Times New Roman"/>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sz w:val="24"/>
          <w:szCs w:val="24"/>
        </w:rPr>
      </w:pPr>
      <w:r w:rsidRPr="00111B84">
        <w:rPr>
          <w:rFonts w:ascii="Times New Roman" w:hAnsi="Times New Roman" w:cs="Times New Roman"/>
          <w:noProof/>
          <w:sz w:val="24"/>
          <w:szCs w:val="24"/>
          <w:lang w:bidi="ne-NP"/>
        </w:rPr>
        <w:drawing>
          <wp:inline distT="0" distB="0" distL="0" distR="0">
            <wp:extent cx="5486400" cy="2667000"/>
            <wp:effectExtent l="19050" t="0" r="19050" b="0"/>
            <wp:docPr id="1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7</w:t>
      </w:r>
    </w:p>
    <w:p w:rsidR="00330A96" w:rsidRDefault="00330A96" w:rsidP="00D25535">
      <w:pPr>
        <w:tabs>
          <w:tab w:val="left" w:pos="3208"/>
        </w:tabs>
        <w:spacing w:after="0" w:line="360" w:lineRule="auto"/>
        <w:jc w:val="both"/>
        <w:rPr>
          <w:rFonts w:ascii="Times New Roman" w:hAnsi="Times New Roman" w:cs="Times New Roman"/>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 xml:space="preserve">This figure clearly shows the total of loans and advances of Standard Chartered Bank Nepal Limited which is dramatically increased of the top level of amount 18375.97 million last year of 2068/69 but at initial phase it was small fall could be found in the second year i.e. 2065/66 then it went to upward position to meet  peak. The lowest amount of the loans and advances is 13118.59 million rupees which almost same amount of the previous year 2064/65. </w:t>
      </w:r>
    </w:p>
    <w:p w:rsidR="001D5E07" w:rsidRPr="00111B84" w:rsidRDefault="001D5E07" w:rsidP="00D25535">
      <w:pPr>
        <w:tabs>
          <w:tab w:val="left" w:pos="3208"/>
        </w:tabs>
        <w:spacing w:after="0" w:line="360" w:lineRule="auto"/>
        <w:jc w:val="both"/>
        <w:rPr>
          <w:rFonts w:ascii="Times New Roman" w:hAnsi="Times New Roman" w:cs="Times New Roman"/>
          <w:sz w:val="24"/>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the loans and advances of this bank might be upward position in future by seeing the previous five years data because from the base year, it is remarkably reached at peak of 18375.97 million from 13118.59 million of its loans and advances.</w:t>
      </w:r>
    </w:p>
    <w:p w:rsidR="00330A96" w:rsidRDefault="00330A96" w:rsidP="00D25535">
      <w:pPr>
        <w:tabs>
          <w:tab w:val="left" w:pos="3208"/>
        </w:tabs>
        <w:spacing w:after="0" w:line="360" w:lineRule="auto"/>
        <w:jc w:val="center"/>
        <w:rPr>
          <w:rFonts w:ascii="Times New Roman" w:hAnsi="Times New Roman" w:cs="Times New Roman"/>
          <w:b/>
          <w:sz w:val="24"/>
          <w:szCs w:val="24"/>
        </w:rPr>
      </w:pP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Table No 4.17</w:t>
      </w:r>
    </w:p>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Non-Performing Loans</w:t>
      </w:r>
    </w:p>
    <w:tbl>
      <w:tblPr>
        <w:tblW w:w="9405" w:type="dxa"/>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5"/>
        <w:gridCol w:w="1620"/>
        <w:gridCol w:w="2070"/>
        <w:gridCol w:w="1800"/>
        <w:gridCol w:w="1800"/>
        <w:gridCol w:w="1080"/>
      </w:tblGrid>
      <w:tr w:rsidR="005130C0" w:rsidRPr="00111B84" w:rsidTr="00330A96">
        <w:trPr>
          <w:trHeight w:val="432"/>
          <w:jc w:val="center"/>
        </w:trPr>
        <w:tc>
          <w:tcPr>
            <w:tcW w:w="1035" w:type="dxa"/>
            <w:tcBorders>
              <w:top w:val="single" w:sz="2" w:space="0" w:color="auto"/>
              <w:bottom w:val="single" w:sz="4" w:space="0" w:color="auto"/>
            </w:tcBorders>
          </w:tcPr>
          <w:p w:rsidR="005130C0" w:rsidRPr="00111B84"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Year</w:t>
            </w:r>
          </w:p>
        </w:tc>
        <w:tc>
          <w:tcPr>
            <w:tcW w:w="162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Restructured Loan</w:t>
            </w:r>
          </w:p>
        </w:tc>
        <w:tc>
          <w:tcPr>
            <w:tcW w:w="207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Substandard Loan</w:t>
            </w:r>
          </w:p>
        </w:tc>
        <w:tc>
          <w:tcPr>
            <w:tcW w:w="180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Doubtful Loan</w:t>
            </w:r>
          </w:p>
        </w:tc>
        <w:tc>
          <w:tcPr>
            <w:tcW w:w="180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Bad debt Loan</w:t>
            </w:r>
          </w:p>
        </w:tc>
        <w:tc>
          <w:tcPr>
            <w:tcW w:w="1080" w:type="dxa"/>
            <w:tcBorders>
              <w:top w:val="single" w:sz="2" w:space="0" w:color="auto"/>
              <w:bottom w:val="single" w:sz="4" w:space="0" w:color="auto"/>
            </w:tcBorders>
          </w:tcPr>
          <w:p w:rsidR="005130C0" w:rsidRPr="00111B84" w:rsidRDefault="005130C0" w:rsidP="00D25535">
            <w:pPr>
              <w:tabs>
                <w:tab w:val="left" w:pos="3208"/>
              </w:tabs>
              <w:spacing w:after="0" w:line="360" w:lineRule="auto"/>
              <w:ind w:right="-288"/>
              <w:rPr>
                <w:rFonts w:ascii="Times New Roman" w:hAnsi="Times New Roman" w:cs="Times New Roman"/>
                <w:b/>
                <w:sz w:val="24"/>
                <w:szCs w:val="24"/>
              </w:rPr>
            </w:pPr>
            <w:r w:rsidRPr="00111B84">
              <w:rPr>
                <w:rFonts w:ascii="Times New Roman" w:hAnsi="Times New Roman" w:cs="Times New Roman"/>
                <w:b/>
                <w:sz w:val="24"/>
                <w:szCs w:val="24"/>
              </w:rPr>
              <w:t xml:space="preserve">     Total</w:t>
            </w:r>
          </w:p>
        </w:tc>
      </w:tr>
      <w:tr w:rsidR="005130C0" w:rsidRPr="00111B84" w:rsidTr="00330A96">
        <w:trPr>
          <w:trHeight w:val="512"/>
          <w:jc w:val="center"/>
        </w:trPr>
        <w:tc>
          <w:tcPr>
            <w:tcW w:w="1035"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2064/65</w:t>
            </w:r>
          </w:p>
        </w:tc>
        <w:tc>
          <w:tcPr>
            <w:tcW w:w="162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207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24.91 (19.35%)</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48.01 (37.30%)</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55.80 (43.35%)</w:t>
            </w:r>
          </w:p>
        </w:tc>
        <w:tc>
          <w:tcPr>
            <w:tcW w:w="108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128.72</w:t>
            </w:r>
          </w:p>
        </w:tc>
      </w:tr>
      <w:tr w:rsidR="005130C0" w:rsidRPr="00111B84" w:rsidTr="00330A96">
        <w:trPr>
          <w:trHeight w:val="539"/>
          <w:jc w:val="center"/>
        </w:trPr>
        <w:tc>
          <w:tcPr>
            <w:tcW w:w="1035" w:type="dxa"/>
            <w:tcBorders>
              <w:top w:val="single" w:sz="4" w:space="0" w:color="auto"/>
              <w:bottom w:val="single" w:sz="4" w:space="0" w:color="auto"/>
            </w:tcBorders>
          </w:tcPr>
          <w:p w:rsidR="005130C0" w:rsidRPr="00111B84" w:rsidRDefault="005130C0" w:rsidP="00D25535">
            <w:pPr>
              <w:pBdr>
                <w:bar w:val="single" w:sz="4" w:color="auto"/>
              </w:pBd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2065/66</w:t>
            </w:r>
          </w:p>
        </w:tc>
        <w:tc>
          <w:tcPr>
            <w:tcW w:w="162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2070" w:type="dxa"/>
            <w:tcBorders>
              <w:top w:val="single" w:sz="4" w:space="0" w:color="auto"/>
              <w:bottom w:val="single" w:sz="4" w:space="0" w:color="auto"/>
            </w:tcBorders>
          </w:tcPr>
          <w:p w:rsidR="005130C0" w:rsidRPr="00111B84" w:rsidRDefault="00C33188" w:rsidP="00D25535">
            <w:pPr>
              <w:tabs>
                <w:tab w:val="left" w:pos="3208"/>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130C0" w:rsidRPr="00111B84">
              <w:rPr>
                <w:rFonts w:ascii="Times New Roman" w:hAnsi="Times New Roman" w:cs="Times New Roman"/>
                <w:sz w:val="24"/>
                <w:szCs w:val="24"/>
              </w:rPr>
              <w:t>34.42 (37.81%)</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11.85 (13.02%)</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44.77 (49.18%)</w:t>
            </w:r>
          </w:p>
        </w:tc>
        <w:tc>
          <w:tcPr>
            <w:tcW w:w="108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91.04</w:t>
            </w:r>
          </w:p>
        </w:tc>
      </w:tr>
      <w:tr w:rsidR="005130C0" w:rsidRPr="00111B84" w:rsidTr="00330A96">
        <w:trPr>
          <w:trHeight w:val="343"/>
          <w:jc w:val="center"/>
        </w:trPr>
        <w:tc>
          <w:tcPr>
            <w:tcW w:w="1035"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2066/67</w:t>
            </w:r>
          </w:p>
        </w:tc>
        <w:tc>
          <w:tcPr>
            <w:tcW w:w="162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2070" w:type="dxa"/>
            <w:tcBorders>
              <w:top w:val="single" w:sz="4" w:space="0" w:color="auto"/>
              <w:bottom w:val="single" w:sz="4" w:space="0" w:color="auto"/>
            </w:tcBorders>
          </w:tcPr>
          <w:p w:rsidR="005130C0" w:rsidRPr="00111B84" w:rsidRDefault="00C33188" w:rsidP="00D25535">
            <w:pPr>
              <w:tabs>
                <w:tab w:val="left" w:pos="402"/>
                <w:tab w:val="left" w:pos="3208"/>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130C0" w:rsidRPr="00111B84">
              <w:rPr>
                <w:rFonts w:ascii="Times New Roman" w:hAnsi="Times New Roman" w:cs="Times New Roman"/>
                <w:sz w:val="24"/>
                <w:szCs w:val="24"/>
              </w:rPr>
              <w:t>50.94 (51.91%)</w:t>
            </w:r>
          </w:p>
        </w:tc>
        <w:tc>
          <w:tcPr>
            <w:tcW w:w="180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2.18 (2.23%)</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 xml:space="preserve">45.02 (45.87%)                       </w:t>
            </w:r>
          </w:p>
        </w:tc>
        <w:tc>
          <w:tcPr>
            <w:tcW w:w="108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98.14</w:t>
            </w:r>
          </w:p>
        </w:tc>
      </w:tr>
      <w:tr w:rsidR="005130C0" w:rsidRPr="00111B84" w:rsidTr="00330A96">
        <w:trPr>
          <w:trHeight w:val="312"/>
          <w:jc w:val="center"/>
        </w:trPr>
        <w:tc>
          <w:tcPr>
            <w:tcW w:w="1035"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2067/68</w:t>
            </w:r>
          </w:p>
        </w:tc>
        <w:tc>
          <w:tcPr>
            <w:tcW w:w="1620" w:type="dxa"/>
            <w:tcBorders>
              <w:top w:val="single" w:sz="4" w:space="0" w:color="auto"/>
              <w:bottom w:val="single" w:sz="4" w:space="0" w:color="auto"/>
            </w:tcBorders>
          </w:tcPr>
          <w:p w:rsidR="005130C0" w:rsidRPr="00111B84" w:rsidRDefault="005130C0" w:rsidP="00D25535">
            <w:pPr>
              <w:tabs>
                <w:tab w:val="left" w:pos="3208"/>
              </w:tabs>
              <w:spacing w:after="0" w:line="360" w:lineRule="auto"/>
              <w:jc w:val="right"/>
              <w:rPr>
                <w:rFonts w:ascii="Times New Roman" w:hAnsi="Times New Roman" w:cs="Times New Roman"/>
                <w:sz w:val="24"/>
                <w:szCs w:val="24"/>
              </w:rPr>
            </w:pPr>
            <w:r w:rsidRPr="00111B84">
              <w:rPr>
                <w:rFonts w:ascii="Times New Roman" w:hAnsi="Times New Roman" w:cs="Times New Roman"/>
                <w:sz w:val="24"/>
                <w:szCs w:val="24"/>
              </w:rPr>
              <w:t>_</w:t>
            </w:r>
          </w:p>
        </w:tc>
        <w:tc>
          <w:tcPr>
            <w:tcW w:w="207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85.73 (74.03%)</w:t>
            </w:r>
          </w:p>
        </w:tc>
        <w:tc>
          <w:tcPr>
            <w:tcW w:w="180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3.54 (3.06%)</w:t>
            </w:r>
          </w:p>
        </w:tc>
        <w:tc>
          <w:tcPr>
            <w:tcW w:w="1800" w:type="dxa"/>
            <w:tcBorders>
              <w:top w:val="single" w:sz="4" w:space="0" w:color="auto"/>
              <w:bottom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26.54(22.92%)</w:t>
            </w:r>
          </w:p>
        </w:tc>
        <w:tc>
          <w:tcPr>
            <w:tcW w:w="1080" w:type="dxa"/>
            <w:tcBorders>
              <w:top w:val="single" w:sz="4" w:space="0" w:color="auto"/>
              <w:bottom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115.80</w:t>
            </w:r>
          </w:p>
        </w:tc>
      </w:tr>
      <w:tr w:rsidR="005130C0" w:rsidRPr="00111B84" w:rsidTr="00330A96">
        <w:trPr>
          <w:trHeight w:val="337"/>
          <w:jc w:val="center"/>
        </w:trPr>
        <w:tc>
          <w:tcPr>
            <w:tcW w:w="1035"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2068/69</w:t>
            </w:r>
          </w:p>
        </w:tc>
        <w:tc>
          <w:tcPr>
            <w:tcW w:w="1620" w:type="dxa"/>
            <w:tcBorders>
              <w:top w:val="single" w:sz="4" w:space="0" w:color="auto"/>
            </w:tcBorders>
          </w:tcPr>
          <w:p w:rsidR="005130C0" w:rsidRPr="00111B84" w:rsidRDefault="005130C0" w:rsidP="00D25535">
            <w:pPr>
              <w:tabs>
                <w:tab w:val="right" w:pos="1764"/>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 xml:space="preserve"> </w:t>
            </w:r>
            <w:r w:rsidRPr="00111B84">
              <w:rPr>
                <w:rFonts w:ascii="Times New Roman" w:hAnsi="Times New Roman" w:cs="Times New Roman"/>
                <w:sz w:val="24"/>
                <w:szCs w:val="24"/>
              </w:rPr>
              <w:tab/>
              <w:t>_</w:t>
            </w:r>
          </w:p>
        </w:tc>
        <w:tc>
          <w:tcPr>
            <w:tcW w:w="2070"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124.44 (80.55%)</w:t>
            </w:r>
          </w:p>
        </w:tc>
        <w:tc>
          <w:tcPr>
            <w:tcW w:w="1800" w:type="dxa"/>
            <w:tcBorders>
              <w:top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10.71 (6.93%)</w:t>
            </w:r>
          </w:p>
        </w:tc>
        <w:tc>
          <w:tcPr>
            <w:tcW w:w="1800" w:type="dxa"/>
            <w:tcBorders>
              <w:top w:val="single" w:sz="4" w:space="0" w:color="auto"/>
            </w:tcBorders>
          </w:tcPr>
          <w:p w:rsidR="005130C0" w:rsidRPr="00111B84" w:rsidRDefault="005130C0" w:rsidP="00330A96">
            <w:pPr>
              <w:tabs>
                <w:tab w:val="left" w:pos="3208"/>
              </w:tabs>
              <w:spacing w:after="0" w:line="360" w:lineRule="auto"/>
              <w:rPr>
                <w:rFonts w:ascii="Times New Roman" w:hAnsi="Times New Roman" w:cs="Times New Roman"/>
                <w:sz w:val="24"/>
                <w:szCs w:val="24"/>
              </w:rPr>
            </w:pPr>
            <w:r w:rsidRPr="00111B84">
              <w:rPr>
                <w:rFonts w:ascii="Times New Roman" w:hAnsi="Times New Roman" w:cs="Times New Roman"/>
                <w:sz w:val="24"/>
                <w:szCs w:val="24"/>
              </w:rPr>
              <w:t>19.34 (12.52%)</w:t>
            </w:r>
          </w:p>
        </w:tc>
        <w:tc>
          <w:tcPr>
            <w:tcW w:w="1080" w:type="dxa"/>
            <w:tcBorders>
              <w:top w:val="single" w:sz="4" w:space="0" w:color="auto"/>
            </w:tcBorders>
          </w:tcPr>
          <w:p w:rsidR="005130C0" w:rsidRPr="00111B84" w:rsidRDefault="005130C0" w:rsidP="00D25535">
            <w:pPr>
              <w:tabs>
                <w:tab w:val="left" w:pos="3208"/>
              </w:tabs>
              <w:spacing w:after="0" w:line="360" w:lineRule="auto"/>
              <w:rPr>
                <w:rFonts w:ascii="Times New Roman" w:hAnsi="Times New Roman" w:cs="Times New Roman"/>
                <w:b/>
                <w:sz w:val="24"/>
                <w:szCs w:val="24"/>
              </w:rPr>
            </w:pPr>
            <w:r w:rsidRPr="00111B84">
              <w:rPr>
                <w:rFonts w:ascii="Times New Roman" w:hAnsi="Times New Roman" w:cs="Times New Roman"/>
                <w:b/>
                <w:sz w:val="24"/>
                <w:szCs w:val="24"/>
              </w:rPr>
              <w:t>154.49</w:t>
            </w:r>
          </w:p>
        </w:tc>
      </w:tr>
    </w:tbl>
    <w:p w:rsidR="005130C0" w:rsidRPr="00111B84" w:rsidRDefault="005130C0" w:rsidP="00D25535">
      <w:pPr>
        <w:tabs>
          <w:tab w:val="left" w:pos="3208"/>
        </w:tabs>
        <w:spacing w:after="0" w:line="360" w:lineRule="auto"/>
        <w:rPr>
          <w:rFonts w:ascii="Times New Roman" w:hAnsi="Times New Roman" w:cs="Times New Roman"/>
          <w:b/>
          <w:sz w:val="24"/>
          <w:szCs w:val="24"/>
        </w:rPr>
      </w:pPr>
    </w:p>
    <w:p w:rsidR="005130C0" w:rsidRDefault="005130C0" w:rsidP="001D5E07">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Table shows that Non-Performing Loans of SCBNL for the period between 2064/65-2068/69. From the figures presented in the table, it has been observed that the substandard loan has increasing trend till five years period and reached at top of 80.55 % in 2068/69 for non-performing loan of SCBNL. In contrast, Bad debt Loan had diminishing trend which was decreased from initial to till five years time and dropped at lowest margin of 12.52%. But doubtful debt is ups and downs in the whole years.     </w:t>
      </w:r>
    </w:p>
    <w:p w:rsidR="001D5E07" w:rsidRPr="00111B84" w:rsidRDefault="001D5E07" w:rsidP="001D5E07">
      <w:pPr>
        <w:tabs>
          <w:tab w:val="left" w:pos="3208"/>
        </w:tabs>
        <w:spacing w:after="0" w:line="360" w:lineRule="auto"/>
        <w:jc w:val="both"/>
        <w:rPr>
          <w:rFonts w:ascii="Times New Roman" w:hAnsi="Times New Roman" w:cs="Times New Roman"/>
          <w:sz w:val="24"/>
          <w:szCs w:val="24"/>
        </w:rPr>
      </w:pPr>
    </w:p>
    <w:p w:rsidR="005130C0" w:rsidRPr="00111B84" w:rsidRDefault="005130C0" w:rsidP="001D5E07">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During this period, the highest total of Non-performing Loan is seen during the year of 2068/69 of 154.49 million and least is91.04 million of non-performing loans was found in the year 2065/66. </w:t>
      </w:r>
    </w:p>
    <w:p w:rsidR="005130C0" w:rsidRPr="00111B84" w:rsidRDefault="005130C0" w:rsidP="00D25535">
      <w:pPr>
        <w:spacing w:after="0" w:line="360" w:lineRule="auto"/>
        <w:rPr>
          <w:rFonts w:ascii="Times New Roman" w:hAnsi="Times New Roman" w:cs="Times New Roman"/>
          <w:sz w:val="24"/>
          <w:szCs w:val="24"/>
        </w:rPr>
      </w:pPr>
    </w:p>
    <w:p w:rsidR="005130C0" w:rsidRPr="00111B84" w:rsidRDefault="005130C0" w:rsidP="001D5E07">
      <w:pPr>
        <w:spacing w:after="0" w:line="360" w:lineRule="auto"/>
        <w:jc w:val="center"/>
        <w:rPr>
          <w:rFonts w:ascii="Times New Roman" w:hAnsi="Times New Roman" w:cs="Times New Roman"/>
          <w:sz w:val="24"/>
          <w:szCs w:val="24"/>
        </w:rPr>
      </w:pPr>
      <w:r w:rsidRPr="00111B84">
        <w:rPr>
          <w:rFonts w:ascii="Times New Roman" w:hAnsi="Times New Roman" w:cs="Times New Roman"/>
          <w:noProof/>
          <w:sz w:val="24"/>
          <w:szCs w:val="24"/>
          <w:lang w:bidi="ne-NP"/>
        </w:rPr>
        <w:lastRenderedPageBreak/>
        <w:drawing>
          <wp:inline distT="0" distB="0" distL="0" distR="0">
            <wp:extent cx="5486400" cy="2514600"/>
            <wp:effectExtent l="19050" t="0" r="19050"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130C0" w:rsidRDefault="005130C0" w:rsidP="00D25535">
      <w:pPr>
        <w:tabs>
          <w:tab w:val="left" w:pos="3208"/>
        </w:tabs>
        <w:spacing w:after="0" w:line="360" w:lineRule="auto"/>
        <w:jc w:val="center"/>
        <w:rPr>
          <w:rFonts w:ascii="Times New Roman" w:hAnsi="Times New Roman" w:cs="Times New Roman"/>
          <w:b/>
          <w:sz w:val="24"/>
          <w:szCs w:val="24"/>
        </w:rPr>
      </w:pPr>
      <w:r w:rsidRPr="00111B84">
        <w:rPr>
          <w:rFonts w:ascii="Times New Roman" w:hAnsi="Times New Roman" w:cs="Times New Roman"/>
          <w:b/>
          <w:sz w:val="24"/>
          <w:szCs w:val="24"/>
        </w:rPr>
        <w:t>Figure no. 8</w:t>
      </w:r>
    </w:p>
    <w:p w:rsidR="00330A96" w:rsidRPr="00111B84" w:rsidRDefault="00330A96" w:rsidP="00D25535">
      <w:pPr>
        <w:tabs>
          <w:tab w:val="left" w:pos="3208"/>
        </w:tabs>
        <w:spacing w:after="0" w:line="360" w:lineRule="auto"/>
        <w:jc w:val="center"/>
        <w:rPr>
          <w:rFonts w:ascii="Times New Roman" w:hAnsi="Times New Roman" w:cs="Times New Roman"/>
          <w:b/>
          <w:sz w:val="24"/>
          <w:szCs w:val="24"/>
        </w:rPr>
      </w:pPr>
    </w:p>
    <w:p w:rsidR="005130C0"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This figure clearly shows the total of non-performing loans of Standard Chartered Bank Nepal Limited, at the starting year from 2064/65 to 2065/66, it was drastically decreased and reached at the lowest amount of 91.04 million rupees which is the least amount in the half decade of the fiscal five years period year and after this,  it seems to be gradually upward position to the next years and then suddenly reached to the highest level of amount 154.49 million till the year 2068/69 which is the topmost level of non-performing loan during the five year period. </w:t>
      </w:r>
    </w:p>
    <w:p w:rsidR="00C33188" w:rsidRPr="001D5E07" w:rsidRDefault="00C33188" w:rsidP="00D25535">
      <w:pPr>
        <w:tabs>
          <w:tab w:val="left" w:pos="3208"/>
        </w:tabs>
        <w:spacing w:after="0" w:line="360" w:lineRule="auto"/>
        <w:jc w:val="both"/>
        <w:rPr>
          <w:rFonts w:ascii="Times New Roman" w:hAnsi="Times New Roman" w:cs="Times New Roman"/>
          <w:sz w:val="18"/>
          <w:szCs w:val="24"/>
        </w:rPr>
      </w:pPr>
    </w:p>
    <w:p w:rsidR="005130C0" w:rsidRPr="00111B84" w:rsidRDefault="005130C0" w:rsidP="00D25535">
      <w:pPr>
        <w:tabs>
          <w:tab w:val="left" w:pos="3208"/>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According to the chart, it can be predicted that non-performing loans of this bank might be increasing position in future by seeing the previous three years data even though it was decreased at initial period of the five years’ time because, it is remarkably reached at peak of 154.49 million from 91.04millions rupees of its non-performing loans during the year of 2065/66.</w:t>
      </w:r>
    </w:p>
    <w:p w:rsidR="00330A96" w:rsidRDefault="00330A96">
      <w:pPr>
        <w:rPr>
          <w:rFonts w:ascii="Times New Roman" w:hAnsi="Times New Roman" w:cs="Times New Roman"/>
          <w:b/>
          <w:bCs/>
          <w:sz w:val="32"/>
          <w:szCs w:val="24"/>
        </w:rPr>
      </w:pPr>
      <w:r>
        <w:rPr>
          <w:rFonts w:ascii="Times New Roman" w:hAnsi="Times New Roman" w:cs="Times New Roman"/>
          <w:b/>
          <w:bCs/>
          <w:sz w:val="32"/>
          <w:szCs w:val="24"/>
        </w:rPr>
        <w:br w:type="page"/>
      </w:r>
    </w:p>
    <w:p w:rsidR="002936E7" w:rsidRPr="00C33188" w:rsidRDefault="002936E7" w:rsidP="00D25535">
      <w:pPr>
        <w:spacing w:after="0" w:line="360" w:lineRule="auto"/>
        <w:jc w:val="center"/>
        <w:outlineLvl w:val="0"/>
        <w:rPr>
          <w:rFonts w:ascii="Times New Roman" w:hAnsi="Times New Roman" w:cs="Times New Roman"/>
          <w:b/>
          <w:bCs/>
          <w:sz w:val="32"/>
          <w:szCs w:val="24"/>
        </w:rPr>
      </w:pPr>
      <w:r w:rsidRPr="00C33188">
        <w:rPr>
          <w:rFonts w:ascii="Times New Roman" w:hAnsi="Times New Roman" w:cs="Times New Roman"/>
          <w:b/>
          <w:bCs/>
          <w:sz w:val="32"/>
          <w:szCs w:val="24"/>
        </w:rPr>
        <w:lastRenderedPageBreak/>
        <w:t>CHAPTER - V</w:t>
      </w:r>
    </w:p>
    <w:p w:rsidR="002936E7" w:rsidRPr="00C33188" w:rsidRDefault="002936E7" w:rsidP="00330A96">
      <w:pPr>
        <w:spacing w:after="0" w:line="360" w:lineRule="auto"/>
        <w:jc w:val="center"/>
        <w:rPr>
          <w:rFonts w:ascii="Times New Roman" w:hAnsi="Times New Roman" w:cs="Times New Roman"/>
          <w:b/>
          <w:bCs/>
          <w:sz w:val="28"/>
          <w:szCs w:val="24"/>
        </w:rPr>
      </w:pPr>
      <w:r w:rsidRPr="00C33188">
        <w:rPr>
          <w:rFonts w:ascii="Times New Roman" w:hAnsi="Times New Roman" w:cs="Times New Roman"/>
          <w:b/>
          <w:bCs/>
          <w:sz w:val="28"/>
          <w:szCs w:val="24"/>
        </w:rPr>
        <w:t>SUMMARY, CONCLUISON AND RECOMMENDATION:</w:t>
      </w:r>
    </w:p>
    <w:p w:rsidR="002936E7" w:rsidRPr="00111B84" w:rsidRDefault="002936E7" w:rsidP="00D25535">
      <w:pPr>
        <w:spacing w:after="0" w:line="360" w:lineRule="auto"/>
        <w:ind w:hanging="720"/>
        <w:jc w:val="center"/>
        <w:rPr>
          <w:rFonts w:ascii="Times New Roman" w:hAnsi="Times New Roman" w:cs="Times New Roman"/>
          <w:b/>
          <w:bCs/>
          <w:sz w:val="24"/>
          <w:szCs w:val="24"/>
        </w:rPr>
      </w:pPr>
    </w:p>
    <w:p w:rsidR="002936E7" w:rsidRPr="00111B84" w:rsidRDefault="002936E7" w:rsidP="00D25535">
      <w:pPr>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5.1.     INTRODUCTION:</w:t>
      </w:r>
    </w:p>
    <w:p w:rsidR="002936E7" w:rsidRPr="00111B84" w:rsidRDefault="002936E7" w:rsidP="00D25535">
      <w:pPr>
        <w:tabs>
          <w:tab w:val="left" w:pos="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This chapter highlights some conclusions and recommendations on the basis of the major findings of the study derived from the analysis of investment policy of SCBNL. This chapter includes two aspects of the study. First aspect of the study focuses on summarizing the fact findings of the study and making concluding remarking upon them. The second aspect of the study focused on making some useful suggestions and recommendations based on findings of the study to improve the investment policy of SCBNL.</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 xml:space="preserve">5.2. </w:t>
      </w:r>
      <w:r w:rsidRPr="00111B84">
        <w:rPr>
          <w:rFonts w:ascii="Times New Roman" w:hAnsi="Times New Roman" w:cs="Times New Roman"/>
          <w:b/>
          <w:bCs/>
          <w:sz w:val="24"/>
          <w:szCs w:val="24"/>
        </w:rPr>
        <w:tab/>
        <w:t>SUMMARY</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management of a bank is guided by the investment policy adopted by the bank. The investment policy of bank helps the investments operation of the bank to be efficient and profitable by minimizing the inherent risk. A healthy development of any banks depends upon its investment policy. The success and prosperity of the bank relies heavily upon the successful investment of collected resources to the important sectors. Therefore, the funds received by the bank should be invested in such a way that they will be readily available to repay and distribute the returns.</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Investment refers to buying of shares, stocks and bond of the capital market in terms of banking investment, it means purchasing of stocks, securities, treasury bills etc. a commercial bank should mobilize its deposits and other funds to secured, profitable and marketable sector so that it can be easily liquidated when necessary. Investment policy provides guidelines to handle their operation smoothly ensuring maximum return with minimum exposure of risk.</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tabs>
          <w:tab w:val="left" w:pos="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Main investment of bank is lending its collected fund in different sector of economy. The formulation of sound lending policies for all banks should have adequate and careful consideration over community needs, size of loan portfolio, character of loan, credit worthiness of borrower and assets pledges to security borrowing, interest rate </w:t>
      </w:r>
      <w:r w:rsidRPr="00111B84">
        <w:rPr>
          <w:rFonts w:ascii="Times New Roman" w:hAnsi="Times New Roman" w:cs="Times New Roman"/>
          <w:sz w:val="24"/>
          <w:szCs w:val="24"/>
        </w:rPr>
        <w:lastRenderedPageBreak/>
        <w:t xml:space="preserve">policy. Lending affects the company’s profitability and liquidity, so it is one of the crucial decisions for the commercial banks. </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major source of income of bank is interest income from loans and investments and fee based income. Loan is not the money market investment but it is considered as the investment of the bank. Loan and advances provided by commercial banks are very risky. Risk of non repayment of loan is known as credit risk or default risk. Performing loan has multiple benefits to the society by helping the growth of economy while non performing loan even erodes existing capital. The directions and guidance provided by NRB are the major policy statements for Nepalese commercial banks. So commercial banks have to follow these policies to utilize their funds. Thus, proper utilizations of the resources have become relevant and current issues for the banks.</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main objective of the study was to evaluate the investment policy of SCBNL and to suggest measures to improve the investment policy of the bank. The study had been constrained by various common limitations. The study was based on the secondary data from F/Y 2007/08 to F/Y 2011/12. The data has basically obtained from annual reports and financial reports, official records, various published and relevant unpublished master’s degree thesis. </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tabs>
          <w:tab w:val="left" w:pos="90"/>
        </w:tabs>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Financial as well as statistical tools have been used in order to analyze and interpret the data and information. Under financial analysis, various financial patterns related to the investment function of commercial banks i.e. share capital, reserves and funds, loans and borrowings, deposit liability, money at call and short notice, investment pattern, loans, advances and bills purchased, fixed assets and other assets have been analyzed and interpreted. Under statistical analysis, some relevant statistical tools i.e. mean, covariance (</w:t>
      </w:r>
      <w:proofErr w:type="gramStart"/>
      <w:r w:rsidRPr="00111B84">
        <w:rPr>
          <w:rFonts w:ascii="Times New Roman" w:hAnsi="Times New Roman" w:cs="Times New Roman"/>
          <w:sz w:val="24"/>
          <w:szCs w:val="24"/>
        </w:rPr>
        <w:t>cv</w:t>
      </w:r>
      <w:proofErr w:type="gramEnd"/>
      <w:r w:rsidRPr="00111B84">
        <w:rPr>
          <w:rFonts w:ascii="Times New Roman" w:hAnsi="Times New Roman" w:cs="Times New Roman"/>
          <w:sz w:val="24"/>
          <w:szCs w:val="24"/>
        </w:rPr>
        <w:t>) and standard deviation (sd) have been used. These analyses give the clear picture of the bank with regard to its investment operation and policy.</w:t>
      </w:r>
    </w:p>
    <w:p w:rsidR="002936E7" w:rsidRPr="00111B84" w:rsidRDefault="002936E7" w:rsidP="00D25535">
      <w:pPr>
        <w:tabs>
          <w:tab w:val="left" w:pos="90"/>
        </w:tabs>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5.3.    CONCLUSION:</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The main focus of the study is basically confined to reviewing the investment policy of SCBNL and its status in terms of the investment portfolio declared by central bank. </w:t>
      </w:r>
      <w:r w:rsidRPr="00111B84">
        <w:rPr>
          <w:rFonts w:ascii="Times New Roman" w:hAnsi="Times New Roman" w:cs="Times New Roman"/>
          <w:sz w:val="24"/>
          <w:szCs w:val="24"/>
        </w:rPr>
        <w:lastRenderedPageBreak/>
        <w:t xml:space="preserve">From the study from the fiscal year 2007/08 to 2011/12, the following conclusion can be made. </w:t>
      </w:r>
    </w:p>
    <w:p w:rsidR="001D5E07" w:rsidRPr="00111B84" w:rsidRDefault="001D5E07" w:rsidP="00D25535">
      <w:pPr>
        <w:spacing w:after="0" w:line="360" w:lineRule="auto"/>
        <w:jc w:val="both"/>
        <w:rPr>
          <w:rFonts w:ascii="Times New Roman" w:hAnsi="Times New Roman" w:cs="Times New Roman"/>
          <w:sz w:val="24"/>
          <w:szCs w:val="24"/>
        </w:rPr>
      </w:pPr>
    </w:p>
    <w:p w:rsidR="00C05935" w:rsidRPr="00111B84" w:rsidRDefault="002936E7"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Share Capital:</w:t>
      </w:r>
    </w:p>
    <w:p w:rsidR="002936E7" w:rsidRPr="00111B84" w:rsidRDefault="002936E7"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sz w:val="24"/>
          <w:szCs w:val="24"/>
        </w:rPr>
        <w:t>The findings show that share capital of SCBNL has increasing trend with the maximum index which is three fold greater than as compare to the base year i.e. 2064/65. The SCBNL is in better position in maintaining its standard deviation and coefficient of variation. It indicates that the share capital position of SCBNL is sufficient to serve its customers demands. It implies the satisfactory position of SCBNL.</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Although the share capital position of SCBNL is satisfactory, the bank still has some room to increase its share strength. For this, the bank can increase its investment in growth rate and also the investment on Treasury bill will decrease the risk of the bank as well as total risk weighted assets.</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Reserve and Funds:</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result of findings show that reserve and funds of SCBNL fluctuating position with the highest index of 121.30% which is slightly greater than as compared to the based year.</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Reserves and Funds was Rs 1754.56 with Coefficient of Variation of 42.59 percent. Reserves and Funds grew at an average annual rate of 62.26 percent. The highest increment (367.31 percent) of Reserves and Funds took place in the year 2067/68 and the lowest increment was found in the year 2066/67. Reserves and Funds of this bank have been found to be growing at an average annual rate.</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Loans and Borrowings:</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 Loans and Borrowings Pattern of SCBNL  has been observed that SCBNL has an increasing trend with the highest index of 736.44% which is maximum as compared to the figure in 2064/65 (base year).</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lastRenderedPageBreak/>
        <w:t>During this period, average Loans and Borrowings was Rs 571.86 with Coefficient of Variation of 162.60 percent. Loans and Borrowings grew at an average annual rate of 90.46 percent. The highest increment (636.44 percent) of Loans and Borrowings took place in the year 2066/67 and the lowest increment was found in the year 2067/68. Loans and Borrowings of this bank have been found to grow at an average annual rate of 90.46 percent.</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b/>
          <w:sz w:val="24"/>
          <w:szCs w:val="24"/>
        </w:rPr>
        <w:t>Deposit Liability:</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 The findings to Deposit Liability Pattern of SCBNL , it has been observed that the Deposit Liability of SCBNL has fluctuating trend with the highest index 127.75% which is slight changed  as compared to the figure in 2064/65 (base year).</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Deposit Liability with Coefficient of Variation was 56.99 percent. Deposit Liability declined at an average annual rate of -16.95 percent. The highest increment of Deposit Liability took place in the year 2065/66 and the lowest increment was found in the year 2068/69. Deposit Liability of this bank has been found to decline at an average annual rate of negatively during the five years period.</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sz w:val="24"/>
          <w:szCs w:val="24"/>
        </w:rPr>
      </w:pPr>
      <w:r w:rsidRPr="00111B84">
        <w:rPr>
          <w:rFonts w:ascii="Times New Roman" w:hAnsi="Times New Roman" w:cs="Times New Roman"/>
          <w:b/>
          <w:sz w:val="24"/>
          <w:szCs w:val="24"/>
        </w:rPr>
        <w:t>Money at Call and Short Notice:</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findings show that Money at Call and Short Notice Pattern of SCBNL, has been observed that the Money at Call and Short Notice of SCBNL has fluctuating trend with the highest index 194.80 which is twofold greater  as compared to the initial period of five years’ time.</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Money at Call and Short Notice was Rs 2132 with Coefficient of Variation of 71.03 percent. Money at Call and Short Notice declined an average annual rate of -31.36 percent. The highest increment (-100 percent) of Money at Calls and Short Notice took place in the year 2066/67 and the lowest increment was found in the year 2065/66. Money at Calls and Short Notice of this bank has been found to decline at an average annual rate of -31.36 percent according to the data calculated at previous chapter.</w:t>
      </w:r>
    </w:p>
    <w:p w:rsidR="002936E7" w:rsidRDefault="002936E7" w:rsidP="00D25535">
      <w:pPr>
        <w:spacing w:after="0" w:line="360" w:lineRule="auto"/>
        <w:jc w:val="both"/>
        <w:rPr>
          <w:rFonts w:ascii="Times New Roman" w:hAnsi="Times New Roman" w:cs="Times New Roman"/>
          <w:sz w:val="24"/>
          <w:szCs w:val="24"/>
        </w:rPr>
      </w:pPr>
    </w:p>
    <w:p w:rsidR="003507F1" w:rsidRDefault="003507F1" w:rsidP="00D25535">
      <w:pPr>
        <w:spacing w:after="0" w:line="360" w:lineRule="auto"/>
        <w:jc w:val="both"/>
        <w:rPr>
          <w:rFonts w:ascii="Times New Roman" w:hAnsi="Times New Roman" w:cs="Times New Roman"/>
          <w:sz w:val="24"/>
          <w:szCs w:val="24"/>
        </w:rPr>
      </w:pPr>
    </w:p>
    <w:p w:rsidR="003507F1" w:rsidRPr="00111B84" w:rsidRDefault="003507F1"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lastRenderedPageBreak/>
        <w:t xml:space="preserve">Investment: </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The result of Investments Pattern of SCBNL show that the Investments of SCBNL has fluctuating trend with the highest index 145.55% which is twofold greater  as compared to the figure in 2064/65 (base year).</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Investments was Rs 13072.67 with Coefficient of Variation of 11.58 percent. Investments grew at an average annual rate 301.05 percent. The highest increment (1579.64 percent) of Investments took place in the year 2067/68 and the lowest increment was found in the year 2068/69. Investments of this bank have been found to grow at an average annual rate of -25.03 percent.</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Loans, Advances and Bills purchased:</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 xml:space="preserve"> The result of findings that Loans, Advances and Bills Purchased of SCBNL has fluctuating trend with the highest index 142.70% which is twofold greater as compared to the figure in 2064/65 (base year).</w:t>
      </w:r>
    </w:p>
    <w:p w:rsidR="001D5E07" w:rsidRPr="00111B84" w:rsidRDefault="001D5E0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Loans, Advances and Bills Purchased were Rs 13449.38 with Coefficient of Variation of 52.19 percent. Loans, Advances and Bills Purchased grew at an average annual rate 163.61 percent. The highest increment (898.60 percent) of Loans, Advances and Purchased took place in the year 2067/68 and the lowest increment was found in the year 2065/66. Loans, Advances and Purchased of this bank have been found to grow at an average annual rate of 163.61 percent.</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b/>
          <w:bCs/>
          <w:sz w:val="24"/>
          <w:szCs w:val="24"/>
        </w:rPr>
      </w:pPr>
      <w:r w:rsidRPr="00111B84">
        <w:rPr>
          <w:rFonts w:ascii="Times New Roman" w:hAnsi="Times New Roman" w:cs="Times New Roman"/>
          <w:b/>
          <w:bCs/>
          <w:sz w:val="24"/>
          <w:szCs w:val="24"/>
        </w:rPr>
        <w:t>Fixed Assets:</w:t>
      </w: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Fixed Assets Pattern of SCBNL from the findings, it has been observed that the Fixed Assets of SCBNL has fluctuating trend with the highest index 117.07% which is slightly greater as compared to the initial period.</w:t>
      </w:r>
    </w:p>
    <w:p w:rsidR="001D5E07" w:rsidRPr="00111B84" w:rsidRDefault="001D5E07" w:rsidP="00D25535">
      <w:pPr>
        <w:spacing w:after="0" w:line="360" w:lineRule="auto"/>
        <w:jc w:val="both"/>
        <w:rPr>
          <w:rFonts w:ascii="Times New Roman" w:hAnsi="Times New Roman" w:cs="Times New Roman"/>
          <w:sz w:val="24"/>
          <w:szCs w:val="24"/>
        </w:rPr>
      </w:pPr>
    </w:p>
    <w:p w:rsidR="002936E7"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During this period, average Fixed Assets with Coefficient of Variation of 57.97 percent. Fixed Assets grew at an average annual rate 1057.93 percent. The highest increment (5386.68 percent) of Fixed Assets took place in the year 2067/68 and the lowest increment was found in the year 2068/69. Fixed Assets of this bank has been found to grow at an average annual rate of fixed assets.</w:t>
      </w:r>
    </w:p>
    <w:p w:rsidR="00C33188" w:rsidRPr="00111B84" w:rsidRDefault="00C33188"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sz w:val="24"/>
          <w:szCs w:val="24"/>
        </w:rPr>
        <w:lastRenderedPageBreak/>
        <w:t>Other Assets:</w:t>
      </w:r>
    </w:p>
    <w:p w:rsidR="002936E7" w:rsidRDefault="002936E7" w:rsidP="00D25535">
      <w:pPr>
        <w:spacing w:after="0" w:line="360" w:lineRule="auto"/>
        <w:jc w:val="both"/>
        <w:outlineLvl w:val="0"/>
        <w:rPr>
          <w:rFonts w:ascii="Times New Roman" w:hAnsi="Times New Roman" w:cs="Times New Roman"/>
          <w:sz w:val="24"/>
          <w:szCs w:val="24"/>
        </w:rPr>
      </w:pPr>
      <w:r w:rsidRPr="00111B84">
        <w:rPr>
          <w:rFonts w:ascii="Times New Roman" w:hAnsi="Times New Roman" w:cs="Times New Roman"/>
          <w:sz w:val="24"/>
          <w:szCs w:val="24"/>
        </w:rPr>
        <w:t>Others Assets Pattern of SCBNL is calculated for the period between 2064/65-2068/69. From the figures presented in the table, it has been observed that the Others Assets of SCBNL has fluctuating trend with the highest index99.42 % which is slightly lower is compared to the figure  of base year.</w:t>
      </w:r>
    </w:p>
    <w:p w:rsidR="001D5E07" w:rsidRPr="00111B84" w:rsidRDefault="001D5E07" w:rsidP="00D25535">
      <w:pPr>
        <w:spacing w:after="0" w:line="360" w:lineRule="auto"/>
        <w:jc w:val="both"/>
        <w:outlineLvl w:val="0"/>
        <w:rPr>
          <w:rFonts w:ascii="Times New Roman" w:hAnsi="Times New Roman" w:cs="Times New Roman"/>
          <w:b/>
          <w:bCs/>
          <w:sz w:val="24"/>
          <w:szCs w:val="24"/>
        </w:rPr>
      </w:pPr>
    </w:p>
    <w:p w:rsidR="002936E7" w:rsidRPr="00111B84" w:rsidRDefault="002936E7" w:rsidP="00D25535">
      <w:pPr>
        <w:spacing w:after="0" w:line="360" w:lineRule="auto"/>
        <w:jc w:val="both"/>
        <w:outlineLvl w:val="0"/>
        <w:rPr>
          <w:rFonts w:ascii="Times New Roman" w:hAnsi="Times New Roman" w:cs="Times New Roman"/>
          <w:sz w:val="24"/>
          <w:szCs w:val="24"/>
        </w:rPr>
      </w:pPr>
      <w:r w:rsidRPr="00111B84">
        <w:rPr>
          <w:rFonts w:ascii="Times New Roman" w:hAnsi="Times New Roman" w:cs="Times New Roman"/>
          <w:sz w:val="24"/>
          <w:szCs w:val="24"/>
        </w:rPr>
        <w:t>During this period, average Others Assets was Rs 819.47 with Coefficient of Variation of 66.41 percent. Others Assets grew at an average annual rate 195.09 percent. The highest increment (1095.01 percent) of Others Assets took place and the lowest increment was found in the year 2065/66. Others Fixed of this bank has been found to grow at an average annual rate in percentage.</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From the overall analysis of the investment policy of SCBNL with the help of financial and statistical tools the problems sets for the study is answered as under, which is the main  objective of this study.</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D25535">
      <w:pPr>
        <w:spacing w:after="0" w:line="360" w:lineRule="auto"/>
        <w:jc w:val="both"/>
        <w:outlineLvl w:val="0"/>
        <w:rPr>
          <w:rFonts w:ascii="Times New Roman" w:hAnsi="Times New Roman" w:cs="Times New Roman"/>
          <w:b/>
          <w:bCs/>
          <w:sz w:val="24"/>
          <w:szCs w:val="24"/>
        </w:rPr>
      </w:pPr>
      <w:r w:rsidRPr="00111B84">
        <w:rPr>
          <w:rFonts w:ascii="Times New Roman" w:hAnsi="Times New Roman" w:cs="Times New Roman"/>
          <w:b/>
          <w:bCs/>
          <w:sz w:val="24"/>
          <w:szCs w:val="24"/>
        </w:rPr>
        <w:t xml:space="preserve">5.4. </w:t>
      </w:r>
      <w:r w:rsidRPr="00111B84">
        <w:rPr>
          <w:rFonts w:ascii="Times New Roman" w:hAnsi="Times New Roman" w:cs="Times New Roman"/>
          <w:b/>
          <w:bCs/>
          <w:sz w:val="24"/>
          <w:szCs w:val="24"/>
        </w:rPr>
        <w:tab/>
        <w:t>Recommendation</w:t>
      </w:r>
    </w:p>
    <w:p w:rsidR="002936E7" w:rsidRPr="00111B84" w:rsidRDefault="002936E7" w:rsidP="00D25535">
      <w:pPr>
        <w:spacing w:after="0" w:line="360" w:lineRule="auto"/>
        <w:jc w:val="both"/>
        <w:rPr>
          <w:rFonts w:ascii="Times New Roman" w:hAnsi="Times New Roman" w:cs="Times New Roman"/>
          <w:sz w:val="24"/>
          <w:szCs w:val="24"/>
        </w:rPr>
      </w:pPr>
      <w:r w:rsidRPr="00111B84">
        <w:rPr>
          <w:rFonts w:ascii="Times New Roman" w:hAnsi="Times New Roman" w:cs="Times New Roman"/>
          <w:sz w:val="24"/>
          <w:szCs w:val="24"/>
        </w:rPr>
        <w:t>On the basis of analysis, findings, issues and gaps of the study, following recommendation can be advanced to overcome weakness, inefficiency and to revitalize and improve present fund mobilization and investment policy of SCBNL.</w:t>
      </w:r>
    </w:p>
    <w:p w:rsidR="002936E7" w:rsidRPr="00111B84" w:rsidRDefault="002936E7" w:rsidP="00D25535">
      <w:pPr>
        <w:spacing w:after="0" w:line="360" w:lineRule="auto"/>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1.</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The liquidity position of a bank can be affected by external as well as internal factors. The affecting factors can be interest rates, supply as well as demand position of deposits and loan and advances, investment situation, central banks directive, the lending policies, capability of management, strategic planning and funds flow situations. Liquidity position of the bank is found fair enough. The commercial banks are facing the competition and have been difficult to maintain its liquidity position. Therefore, SCBNL is recommended to increase the investment in the government securities, which helps to utilize funds into income generating assets as well as minimize the risk and helps to maintain the liquidity position.</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2.</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 xml:space="preserve">The management of the bank should work in the interest of its owners such as promoters and share holders. Therefore, the bank must always analyze and </w:t>
      </w:r>
      <w:r w:rsidRPr="00111B84">
        <w:rPr>
          <w:rFonts w:ascii="Times New Roman" w:hAnsi="Times New Roman" w:cs="Times New Roman"/>
          <w:sz w:val="24"/>
          <w:szCs w:val="24"/>
        </w:rPr>
        <w:lastRenderedPageBreak/>
        <w:t>investigate thoroughly on every investment opportunities. The bank must also have the research team to hunt for the new areas of opportunities. All these facts, be it very general and simple, can increase the profit.</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3.</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Bank can gain more net profit if it can reduce its non-performing assets because non- performing asset decrease net profit of the bank. On the basis of findings, the bank has large amount of loan being apportioned as non- performing assets. Therefore, there is an urgent need to work out a suitable mechanism through which the default loans can be realized.</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4.</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Regarding non-performing assets the bank must focus on credit risk management. The thorough analysis of the project and feasibility studies before granting credit facility can reduce the default. In addition to this corporate ethics and a strong corporate culture with high degree of awareness of credit risk should be present. As a prerequisite, establishing adequate policies and procedures is advisable.</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5.</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Portfolio management of bank assets basically means allocation of funds into different components of banking assets having different degree of risk and varying rate of return in such a way that the conflicting goal of maximum yield and minimum risk can be achieves. So, portfolio condition should be examined from time to time and attention should be given to maintain equilibrium in the portfolio condition as far as possible. The bank should make continuous efforts to explore new, competitive and high yielding investment opportunities to optimize its investment portfolio.</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6.</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The bank should be careful in increasing net profit in a real sense to maintain the confidence of shareholders, depositors, its customers and the general public. Although the bank is utilizing the fund in the productive area and gaining the sustainable profit, the bank has not been able to gain the optimum profit in compare to its contemporary banks. Therefore the bank is recommended to decrease the expenses by controlling the operating expenses as well as by collecting the interest free deposits.</w:t>
      </w:r>
    </w:p>
    <w:p w:rsidR="002936E7" w:rsidRPr="00111B84" w:rsidRDefault="002936E7" w:rsidP="001D5E07">
      <w:pPr>
        <w:tabs>
          <w:tab w:val="left" w:pos="360"/>
        </w:tabs>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lastRenderedPageBreak/>
        <w:t>7.</w:t>
      </w:r>
      <w:r w:rsidRPr="00111B84">
        <w:rPr>
          <w:rFonts w:ascii="Times New Roman" w:hAnsi="Times New Roman" w:cs="Times New Roman"/>
          <w:sz w:val="24"/>
          <w:szCs w:val="24"/>
        </w:rPr>
        <w:t xml:space="preserve">   Looking to the investment portfolio focusing on the government securities for the investment as a result of various sectors among the important one are government policies and regulations framework of the central bank. Therefore investment on government securities should be decreased and investment on other sectors.</w:t>
      </w:r>
    </w:p>
    <w:p w:rsidR="002936E7" w:rsidRPr="00111B84" w:rsidRDefault="002936E7" w:rsidP="001D5E07">
      <w:pPr>
        <w:tabs>
          <w:tab w:val="left" w:pos="0"/>
        </w:tabs>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8.</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The bank should open the credit control bureau so that it would take the responsibility of collection of the loan of the bank.</w:t>
      </w:r>
    </w:p>
    <w:p w:rsidR="002936E7" w:rsidRPr="00111B84" w:rsidRDefault="002936E7" w:rsidP="001D5E07">
      <w:pPr>
        <w:tabs>
          <w:tab w:val="left" w:pos="360"/>
        </w:tabs>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9.</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Portfolio condition of a bank should be regularly revised from time to time and it should always try to maintain the equilibrium in the portfolio condition of the bank. Basically the portfolio management refers to the allocation of funds in different small component of its assets having different degree of risk, different rate of return in such a way that the conflicting goal of maximum yield, minimum risk can be properly achieved. The bank always tries to make continuous efforts to explore competitive and highly yielding investment opportunities to optimize its investment portfolio.</w:t>
      </w:r>
    </w:p>
    <w:p w:rsidR="002936E7" w:rsidRPr="00111B84" w:rsidRDefault="002936E7" w:rsidP="001D5E07">
      <w:pPr>
        <w:spacing w:after="0" w:line="360" w:lineRule="auto"/>
        <w:ind w:left="360" w:hanging="360"/>
        <w:jc w:val="both"/>
        <w:rPr>
          <w:rFonts w:ascii="Times New Roman" w:hAnsi="Times New Roman" w:cs="Times New Roman"/>
          <w:sz w:val="24"/>
          <w:szCs w:val="24"/>
        </w:rPr>
      </w:pPr>
    </w:p>
    <w:p w:rsidR="002936E7" w:rsidRPr="00111B84" w:rsidRDefault="002936E7" w:rsidP="001D5E07">
      <w:pPr>
        <w:spacing w:after="0" w:line="360" w:lineRule="auto"/>
        <w:ind w:left="360" w:hanging="360"/>
        <w:jc w:val="both"/>
        <w:rPr>
          <w:rFonts w:ascii="Times New Roman" w:hAnsi="Times New Roman" w:cs="Times New Roman"/>
          <w:sz w:val="24"/>
          <w:szCs w:val="24"/>
        </w:rPr>
      </w:pPr>
      <w:r w:rsidRPr="00111B84">
        <w:rPr>
          <w:rFonts w:ascii="Times New Roman" w:hAnsi="Times New Roman" w:cs="Times New Roman"/>
          <w:b/>
          <w:bCs/>
          <w:sz w:val="24"/>
          <w:szCs w:val="24"/>
        </w:rPr>
        <w:t>10.</w:t>
      </w:r>
      <w:r w:rsidR="001D5E07">
        <w:rPr>
          <w:rFonts w:ascii="Times New Roman" w:hAnsi="Times New Roman" w:cs="Times New Roman"/>
          <w:sz w:val="24"/>
          <w:szCs w:val="24"/>
        </w:rPr>
        <w:t xml:space="preserve"> </w:t>
      </w:r>
      <w:r w:rsidRPr="00111B84">
        <w:rPr>
          <w:rFonts w:ascii="Times New Roman" w:hAnsi="Times New Roman" w:cs="Times New Roman"/>
          <w:sz w:val="24"/>
          <w:szCs w:val="24"/>
        </w:rPr>
        <w:t>The bank is recommended to adopt innovative approach for marketing in the light of growing competition in the banking sector. The business to the bank should be customer oriented. It should strengthen and active its marketing function, as it is an effective tool to attract and retain the customers. For this purpose, the bank should develop an innovative approach to bank marketing and formulate new strategies of serving customers in a more convenient and satisfactory way by optimally utilizing the modern technology and offering new facilities to the customers at competitive prices.</w:t>
      </w:r>
    </w:p>
    <w:p w:rsidR="002936E7" w:rsidRPr="00111B84" w:rsidRDefault="002936E7" w:rsidP="00D25535">
      <w:pPr>
        <w:spacing w:after="0" w:line="360" w:lineRule="auto"/>
        <w:ind w:hanging="720"/>
        <w:jc w:val="both"/>
        <w:rPr>
          <w:rFonts w:ascii="Times New Roman" w:hAnsi="Times New Roman" w:cs="Times New Roman"/>
          <w:sz w:val="24"/>
          <w:szCs w:val="24"/>
        </w:rPr>
      </w:pPr>
    </w:p>
    <w:p w:rsidR="002936E7" w:rsidRPr="00111B84" w:rsidRDefault="002936E7" w:rsidP="00D25535">
      <w:pPr>
        <w:spacing w:after="0" w:line="360" w:lineRule="auto"/>
        <w:rPr>
          <w:rFonts w:ascii="Times New Roman" w:hAnsi="Times New Roman" w:cs="Times New Roman"/>
          <w:sz w:val="24"/>
          <w:szCs w:val="24"/>
        </w:rPr>
      </w:pPr>
    </w:p>
    <w:p w:rsidR="002936E7" w:rsidRPr="00111B84" w:rsidRDefault="002936E7" w:rsidP="00D25535">
      <w:pPr>
        <w:tabs>
          <w:tab w:val="left" w:pos="3208"/>
        </w:tabs>
        <w:spacing w:after="0" w:line="360" w:lineRule="auto"/>
        <w:rPr>
          <w:rFonts w:ascii="Times New Roman" w:hAnsi="Times New Roman" w:cs="Times New Roman"/>
          <w:sz w:val="24"/>
          <w:szCs w:val="24"/>
        </w:rPr>
      </w:pPr>
    </w:p>
    <w:p w:rsidR="0002234B" w:rsidRDefault="0002234B">
      <w:pPr>
        <w:rPr>
          <w:rFonts w:ascii="Times New Roman" w:hAnsi="Times New Roman" w:cs="Times New Roman"/>
          <w:sz w:val="24"/>
          <w:szCs w:val="24"/>
        </w:rPr>
      </w:pPr>
      <w:r>
        <w:rPr>
          <w:rFonts w:ascii="Times New Roman" w:hAnsi="Times New Roman" w:cs="Times New Roman"/>
          <w:sz w:val="24"/>
          <w:szCs w:val="24"/>
        </w:rPr>
        <w:br w:type="page"/>
      </w:r>
    </w:p>
    <w:p w:rsidR="0002234B" w:rsidRPr="0002234B" w:rsidRDefault="0002234B" w:rsidP="0002234B">
      <w:pPr>
        <w:jc w:val="center"/>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lastRenderedPageBreak/>
        <w:t>BIBLILOGRAHY</w:t>
      </w:r>
    </w:p>
    <w:p w:rsidR="0002234B" w:rsidRPr="0002234B" w:rsidRDefault="0002234B" w:rsidP="0002234B">
      <w:pPr>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Books:</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Baidya, Shakespeare. (1999); </w:t>
      </w:r>
      <w:r w:rsidRPr="0002234B">
        <w:rPr>
          <w:rFonts w:ascii="Times New Roman" w:eastAsia="Calibri" w:hAnsi="Times New Roman" w:cs="Times New Roman"/>
          <w:b/>
          <w:bCs/>
          <w:sz w:val="24"/>
          <w:szCs w:val="24"/>
        </w:rPr>
        <w:t>Banking Management</w:t>
      </w:r>
      <w:r w:rsidRPr="0002234B">
        <w:rPr>
          <w:rFonts w:ascii="Times New Roman" w:eastAsia="Calibri" w:hAnsi="Times New Roman" w:cs="Times New Roman"/>
          <w:sz w:val="24"/>
          <w:szCs w:val="24"/>
        </w:rPr>
        <w:t>, second edition, Kathmandu: Monitor Nepal</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Chandler, V. Lester (1973).</w:t>
      </w:r>
      <w:proofErr w:type="gramEnd"/>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 xml:space="preserve"> </w:t>
      </w:r>
      <w:proofErr w:type="gramStart"/>
      <w:r w:rsidRPr="0002234B">
        <w:rPr>
          <w:rFonts w:ascii="Times New Roman" w:eastAsia="Calibri" w:hAnsi="Times New Roman" w:cs="Times New Roman"/>
          <w:b/>
          <w:bCs/>
          <w:sz w:val="24"/>
          <w:szCs w:val="24"/>
        </w:rPr>
        <w:t>The</w:t>
      </w:r>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economic of money and banking</w:t>
      </w:r>
      <w:r w:rsidRPr="0002234B">
        <w:rPr>
          <w:rFonts w:ascii="Times New Roman" w:eastAsia="Calibri" w:hAnsi="Times New Roman" w:cs="Times New Roman"/>
          <w:sz w:val="24"/>
          <w:szCs w:val="24"/>
        </w:rPr>
        <w:t xml:space="preserve"> sixth edition.</w:t>
      </w:r>
      <w:proofErr w:type="gramEnd"/>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Clemens, J. H. (1963); </w:t>
      </w:r>
      <w:r w:rsidRPr="0002234B">
        <w:rPr>
          <w:rFonts w:ascii="Times New Roman" w:eastAsia="Calibri" w:hAnsi="Times New Roman" w:cs="Times New Roman"/>
          <w:b/>
          <w:bCs/>
          <w:sz w:val="24"/>
          <w:szCs w:val="24"/>
        </w:rPr>
        <w:t>Bank Lending</w:t>
      </w:r>
      <w:r w:rsidRPr="0002234B">
        <w:rPr>
          <w:rFonts w:ascii="Times New Roman" w:eastAsia="Calibri" w:hAnsi="Times New Roman" w:cs="Times New Roman"/>
          <w:sz w:val="24"/>
          <w:szCs w:val="24"/>
        </w:rPr>
        <w:t xml:space="preserve"> London: Surop Publication Ltd.</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 xml:space="preserve">Crosse, H. D (1963); </w:t>
      </w:r>
      <w:r w:rsidRPr="0002234B">
        <w:rPr>
          <w:rFonts w:ascii="Times New Roman" w:eastAsia="Calibri" w:hAnsi="Times New Roman" w:cs="Times New Roman"/>
          <w:b/>
          <w:bCs/>
          <w:sz w:val="24"/>
          <w:szCs w:val="24"/>
        </w:rPr>
        <w:t>Management Policies for Commercial Banks.</w:t>
      </w:r>
      <w:proofErr w:type="gramEnd"/>
      <w:r w:rsidRPr="0002234B">
        <w:rPr>
          <w:rFonts w:ascii="Times New Roman" w:eastAsia="Calibri" w:hAnsi="Times New Roman" w:cs="Times New Roman"/>
          <w:sz w:val="24"/>
          <w:szCs w:val="24"/>
        </w:rPr>
        <w:t xml:space="preserve"> </w:t>
      </w:r>
      <w:proofErr w:type="gramStart"/>
      <w:r w:rsidRPr="0002234B">
        <w:rPr>
          <w:rFonts w:ascii="Times New Roman" w:eastAsia="Calibri" w:hAnsi="Times New Roman" w:cs="Times New Roman"/>
          <w:sz w:val="24"/>
          <w:szCs w:val="24"/>
        </w:rPr>
        <w:t>New Jersey; Prentice Hall Inc.</w:t>
      </w:r>
      <w:proofErr w:type="gramEnd"/>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Edward, W Reed, Edward K. Gill, Richard V. Cotter &amp; Richard K. Smith (1980).</w:t>
      </w:r>
      <w:proofErr w:type="gramEnd"/>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Commercial Banking</w:t>
      </w:r>
      <w:r w:rsidRPr="0002234B">
        <w:rPr>
          <w:rFonts w:ascii="Times New Roman" w:eastAsia="Calibri" w:hAnsi="Times New Roman" w:cs="Times New Roman"/>
          <w:sz w:val="24"/>
          <w:szCs w:val="24"/>
        </w:rPr>
        <w:t>, New Jersey: Prentice Hall, Inc.</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Helfert, A. Erich </w:t>
      </w:r>
      <w:r w:rsidRPr="0002234B">
        <w:rPr>
          <w:rFonts w:ascii="Times New Roman" w:eastAsia="Calibri" w:hAnsi="Times New Roman" w:cs="Times New Roman"/>
          <w:b/>
          <w:bCs/>
          <w:sz w:val="24"/>
          <w:szCs w:val="24"/>
        </w:rPr>
        <w:t>“Techniques of Financial Analysis - A modern approach”</w:t>
      </w:r>
      <w:r w:rsidRPr="0002234B">
        <w:rPr>
          <w:rFonts w:ascii="Times New Roman" w:eastAsia="Calibri" w:hAnsi="Times New Roman" w:cs="Times New Roman"/>
          <w:sz w:val="24"/>
          <w:szCs w:val="24"/>
        </w:rPr>
        <w:t xml:space="preserve"> ninth edition</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Hefferman Shelagh</w:t>
      </w:r>
      <w:r w:rsidRPr="0002234B">
        <w:rPr>
          <w:rFonts w:ascii="Times New Roman" w:eastAsia="Calibri" w:hAnsi="Times New Roman" w:cs="Times New Roman"/>
          <w:b/>
          <w:bCs/>
          <w:sz w:val="24"/>
          <w:szCs w:val="24"/>
        </w:rPr>
        <w:t xml:space="preserve"> “Modern Banking in Theory and Practice”-</w:t>
      </w:r>
      <w:r w:rsidRPr="0002234B">
        <w:rPr>
          <w:rFonts w:ascii="Times New Roman" w:eastAsia="Calibri" w:hAnsi="Times New Roman" w:cs="Times New Roman"/>
          <w:sz w:val="24"/>
          <w:szCs w:val="24"/>
        </w:rPr>
        <w:t>John Wiley &amp; Sons Ltd. 1996.</w:t>
      </w:r>
      <w:proofErr w:type="gramEnd"/>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Joshi P.R (2002)</w:t>
      </w:r>
      <w:r w:rsidRPr="0002234B">
        <w:rPr>
          <w:rFonts w:ascii="Times New Roman" w:eastAsia="Calibri" w:hAnsi="Times New Roman" w:cs="Times New Roman"/>
          <w:b/>
          <w:bCs/>
          <w:sz w:val="24"/>
          <w:szCs w:val="24"/>
        </w:rPr>
        <w:t xml:space="preserve"> Research Methodology, 2</w:t>
      </w:r>
      <w:r w:rsidRPr="0002234B">
        <w:rPr>
          <w:rFonts w:ascii="Times New Roman" w:eastAsia="Calibri" w:hAnsi="Times New Roman" w:cs="Times New Roman"/>
          <w:b/>
          <w:bCs/>
          <w:sz w:val="24"/>
          <w:szCs w:val="24"/>
          <w:vertAlign w:val="superscript"/>
        </w:rPr>
        <w:t>nd</w:t>
      </w:r>
      <w:r w:rsidRPr="0002234B">
        <w:rPr>
          <w:rFonts w:ascii="Times New Roman" w:eastAsia="Calibri" w:hAnsi="Times New Roman" w:cs="Times New Roman"/>
          <w:b/>
          <w:bCs/>
          <w:sz w:val="24"/>
          <w:szCs w:val="24"/>
        </w:rPr>
        <w:t xml:space="preserve"> edition</w:t>
      </w:r>
      <w:r w:rsidRPr="0002234B">
        <w:rPr>
          <w:rFonts w:ascii="Times New Roman" w:eastAsia="Calibri" w:hAnsi="Times New Roman" w:cs="Times New Roman"/>
          <w:sz w:val="24"/>
          <w:szCs w:val="24"/>
        </w:rPr>
        <w:t>. Kathmandu: Bouddha Academic Publishers and Distribution Pvt. Ltd.</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Radhaswamy M. &amp; Vasudevan S.V., (1979) </w:t>
      </w:r>
      <w:proofErr w:type="gramStart"/>
      <w:r w:rsidRPr="0002234B">
        <w:rPr>
          <w:rFonts w:ascii="Times New Roman" w:eastAsia="Calibri" w:hAnsi="Times New Roman" w:cs="Times New Roman"/>
          <w:b/>
          <w:bCs/>
          <w:sz w:val="24"/>
          <w:szCs w:val="24"/>
        </w:rPr>
        <w:t>A</w:t>
      </w:r>
      <w:proofErr w:type="gramEnd"/>
      <w:r w:rsidRPr="0002234B">
        <w:rPr>
          <w:rFonts w:ascii="Times New Roman" w:eastAsia="Calibri" w:hAnsi="Times New Roman" w:cs="Times New Roman"/>
          <w:b/>
          <w:bCs/>
          <w:sz w:val="24"/>
          <w:szCs w:val="24"/>
        </w:rPr>
        <w:t xml:space="preserve"> textbook of banking: law practice and Theory of Banking</w:t>
      </w:r>
      <w:r w:rsidRPr="0002234B">
        <w:rPr>
          <w:rFonts w:ascii="Times New Roman" w:eastAsia="Calibri" w:hAnsi="Times New Roman" w:cs="Times New Roman"/>
          <w:sz w:val="24"/>
          <w:szCs w:val="24"/>
        </w:rPr>
        <w:t>, New Delhi: S. Chand and Company Limited</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Vaidya, S. (1997).</w:t>
      </w:r>
      <w:proofErr w:type="gramEnd"/>
      <w:r w:rsidRPr="0002234B">
        <w:rPr>
          <w:rFonts w:ascii="Times New Roman" w:eastAsia="Calibri" w:hAnsi="Times New Roman" w:cs="Times New Roman"/>
          <w:sz w:val="24"/>
          <w:szCs w:val="24"/>
        </w:rPr>
        <w:t xml:space="preserve"> </w:t>
      </w:r>
      <w:proofErr w:type="gramStart"/>
      <w:r w:rsidRPr="0002234B">
        <w:rPr>
          <w:rFonts w:ascii="Times New Roman" w:eastAsia="Calibri" w:hAnsi="Times New Roman" w:cs="Times New Roman"/>
          <w:b/>
          <w:bCs/>
          <w:sz w:val="24"/>
          <w:szCs w:val="24"/>
        </w:rPr>
        <w:t>Money and Banking</w:t>
      </w:r>
      <w:r w:rsidRPr="0002234B">
        <w:rPr>
          <w:rFonts w:ascii="Times New Roman" w:eastAsia="Calibri" w:hAnsi="Times New Roman" w:cs="Times New Roman"/>
          <w:sz w:val="24"/>
          <w:szCs w:val="24"/>
        </w:rPr>
        <w:t>.</w:t>
      </w:r>
      <w:proofErr w:type="gramEnd"/>
      <w:r w:rsidRPr="0002234B">
        <w:rPr>
          <w:rFonts w:ascii="Times New Roman" w:eastAsia="Calibri" w:hAnsi="Times New Roman" w:cs="Times New Roman"/>
          <w:sz w:val="24"/>
          <w:szCs w:val="24"/>
        </w:rPr>
        <w:t xml:space="preserve"> Kathmandu: Pratibha Joshi.</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Valla, V. K. (1983). </w:t>
      </w:r>
      <w:proofErr w:type="gramStart"/>
      <w:r w:rsidRPr="0002234B">
        <w:rPr>
          <w:rFonts w:ascii="Times New Roman" w:eastAsia="Calibri" w:hAnsi="Times New Roman" w:cs="Times New Roman"/>
          <w:b/>
          <w:bCs/>
          <w:sz w:val="24"/>
          <w:szCs w:val="24"/>
        </w:rPr>
        <w:t>Investment Management, Securities Analysis and Portfolio Management</w:t>
      </w:r>
      <w:r w:rsidRPr="0002234B">
        <w:rPr>
          <w:rFonts w:ascii="Times New Roman" w:eastAsia="Calibri" w:hAnsi="Times New Roman" w:cs="Times New Roman"/>
          <w:sz w:val="24"/>
          <w:szCs w:val="24"/>
        </w:rPr>
        <w:t>.</w:t>
      </w:r>
      <w:proofErr w:type="gramEnd"/>
      <w:r w:rsidRPr="0002234B">
        <w:rPr>
          <w:rFonts w:ascii="Times New Roman" w:eastAsia="Calibri" w:hAnsi="Times New Roman" w:cs="Times New Roman"/>
          <w:sz w:val="24"/>
          <w:szCs w:val="24"/>
        </w:rPr>
        <w:t xml:space="preserve"> New Delhi: S. Chand &amp; Co. Ltd.</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Van Horne, James C. (1998) </w:t>
      </w:r>
      <w:r w:rsidRPr="0002234B">
        <w:rPr>
          <w:rFonts w:ascii="Times New Roman" w:eastAsia="Calibri" w:hAnsi="Times New Roman" w:cs="Times New Roman"/>
          <w:b/>
          <w:bCs/>
          <w:sz w:val="24"/>
          <w:szCs w:val="24"/>
        </w:rPr>
        <w:t>Financial Management and Policy</w:t>
      </w:r>
      <w:r w:rsidRPr="0002234B">
        <w:rPr>
          <w:rFonts w:ascii="Times New Roman" w:eastAsia="Calibri" w:hAnsi="Times New Roman" w:cs="Times New Roman"/>
          <w:sz w:val="24"/>
          <w:szCs w:val="24"/>
        </w:rPr>
        <w:t>. Tenth edition, New Delhi: Prentice Hall of India.</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William F. Sharpe, Gordon J. Alexander and Jeffery V. Bailey (2000); </w:t>
      </w:r>
      <w:r w:rsidRPr="0002234B">
        <w:rPr>
          <w:rFonts w:ascii="Times New Roman" w:eastAsia="Calibri" w:hAnsi="Times New Roman" w:cs="Times New Roman"/>
          <w:b/>
          <w:bCs/>
          <w:sz w:val="24"/>
          <w:szCs w:val="24"/>
        </w:rPr>
        <w:t>Investments</w:t>
      </w:r>
      <w:r w:rsidRPr="0002234B">
        <w:rPr>
          <w:rFonts w:ascii="Times New Roman" w:eastAsia="Calibri" w:hAnsi="Times New Roman" w:cs="Times New Roman"/>
          <w:sz w:val="24"/>
          <w:szCs w:val="24"/>
        </w:rPr>
        <w:t>, Fifth Edition, New Delhi: Prentice Hall of India P. Ltd.</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Wolf, H.K. &amp; Pant, P.R. (1999).</w:t>
      </w:r>
      <w:proofErr w:type="gramEnd"/>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A handbook of social science research and thesis writing,</w:t>
      </w:r>
      <w:r w:rsidRPr="0002234B">
        <w:rPr>
          <w:rFonts w:ascii="Times New Roman" w:eastAsia="Calibri" w:hAnsi="Times New Roman" w:cs="Times New Roman"/>
          <w:sz w:val="24"/>
          <w:szCs w:val="24"/>
        </w:rPr>
        <w:t xml:space="preserve"> Kathmandu: Buddha Academics Enterprises Pvt. Ltd.</w:t>
      </w:r>
    </w:p>
    <w:p w:rsidR="0002234B" w:rsidRPr="0002234B" w:rsidRDefault="0002234B" w:rsidP="0002234B">
      <w:pPr>
        <w:ind w:left="540" w:hanging="540"/>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Article Reports and Directories:</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sz w:val="24"/>
          <w:szCs w:val="24"/>
        </w:rPr>
        <w:t xml:space="preserve">Dr. K.C. Bijay (2005); </w:t>
      </w:r>
      <w:r w:rsidRPr="0002234B">
        <w:rPr>
          <w:rFonts w:ascii="Times New Roman" w:eastAsia="Calibri" w:hAnsi="Times New Roman" w:cs="Times New Roman"/>
          <w:b/>
          <w:bCs/>
          <w:sz w:val="24"/>
          <w:szCs w:val="24"/>
        </w:rPr>
        <w:t>Strategies for reducing non performing loan in Nepal</w:t>
      </w:r>
      <w:r w:rsidRPr="0002234B">
        <w:rPr>
          <w:rFonts w:ascii="Times New Roman" w:eastAsia="Calibri" w:hAnsi="Times New Roman" w:cs="Times New Roman"/>
          <w:sz w:val="24"/>
          <w:szCs w:val="24"/>
        </w:rPr>
        <w:t>, Business Vision, Kathmandu University.</w:t>
      </w:r>
      <w:proofErr w:type="gramEnd"/>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lastRenderedPageBreak/>
        <w:t xml:space="preserve">Dr. Shrestha Sunity (2055), </w:t>
      </w:r>
      <w:r w:rsidRPr="0002234B">
        <w:rPr>
          <w:rFonts w:ascii="Times New Roman" w:eastAsia="Calibri" w:hAnsi="Times New Roman" w:cs="Times New Roman"/>
          <w:b/>
          <w:bCs/>
          <w:sz w:val="24"/>
          <w:szCs w:val="24"/>
        </w:rPr>
        <w:t>Lending operations of commercial banks of Nepal and its impact on GDP</w:t>
      </w:r>
      <w:r w:rsidRPr="0002234B">
        <w:rPr>
          <w:rFonts w:ascii="Times New Roman" w:eastAsia="Calibri" w:hAnsi="Times New Roman" w:cs="Times New Roman"/>
          <w:sz w:val="24"/>
          <w:szCs w:val="24"/>
        </w:rPr>
        <w:t>, the business voice of Nepal ( The special issue of Banijya Sansar) T.U. Kritipur.</w:t>
      </w:r>
    </w:p>
    <w:p w:rsidR="0002234B" w:rsidRPr="0002234B" w:rsidRDefault="0002234B" w:rsidP="0002234B">
      <w:pPr>
        <w:ind w:left="540" w:hanging="540"/>
        <w:jc w:val="both"/>
        <w:rPr>
          <w:rFonts w:ascii="Times New Roman" w:eastAsia="Calibri" w:hAnsi="Times New Roman" w:cs="Times New Roman"/>
          <w:sz w:val="24"/>
          <w:szCs w:val="24"/>
        </w:rPr>
      </w:pPr>
      <w:proofErr w:type="gramStart"/>
      <w:r w:rsidRPr="0002234B">
        <w:rPr>
          <w:rFonts w:ascii="Times New Roman" w:eastAsia="Calibri" w:hAnsi="Times New Roman" w:cs="Times New Roman"/>
          <w:b/>
          <w:bCs/>
          <w:sz w:val="24"/>
          <w:szCs w:val="24"/>
        </w:rPr>
        <w:t>Banking and Financial Statistics, 39.</w:t>
      </w:r>
      <w:proofErr w:type="gramEnd"/>
      <w:r w:rsidRPr="0002234B">
        <w:rPr>
          <w:rFonts w:ascii="Times New Roman" w:eastAsia="Calibri" w:hAnsi="Times New Roman" w:cs="Times New Roman"/>
          <w:sz w:val="24"/>
          <w:szCs w:val="24"/>
        </w:rPr>
        <w:t xml:space="preserve"> (2002). Kathmandu: Nepal Rastra Bank, Bank and Financial Institution Regulation Department.</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Directives for Commercial Banks:</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Annual Report, Standard Chartered Bank Nepal Limited (2008 to 2012)</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Commercial Bank Act of Nepal, 1974</w:t>
      </w:r>
    </w:p>
    <w:p w:rsidR="0002234B" w:rsidRPr="0002234B" w:rsidRDefault="0002234B" w:rsidP="0002234B">
      <w:pPr>
        <w:ind w:left="540" w:hanging="540"/>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Nepal Bank Act 1964, Nepal</w:t>
      </w:r>
    </w:p>
    <w:p w:rsidR="0002234B" w:rsidRPr="0002234B" w:rsidRDefault="0002234B" w:rsidP="0002234B">
      <w:pPr>
        <w:jc w:val="both"/>
        <w:rPr>
          <w:rFonts w:ascii="Times New Roman" w:eastAsia="Calibri" w:hAnsi="Times New Roman" w:cs="Times New Roman"/>
          <w:sz w:val="24"/>
          <w:szCs w:val="24"/>
        </w:rPr>
      </w:pPr>
    </w:p>
    <w:p w:rsidR="0002234B" w:rsidRPr="0002234B" w:rsidRDefault="0002234B" w:rsidP="0002234B">
      <w:pPr>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Website:</w:t>
      </w:r>
    </w:p>
    <w:p w:rsidR="0002234B" w:rsidRPr="0002234B" w:rsidRDefault="00831320" w:rsidP="0002234B">
      <w:pPr>
        <w:spacing w:after="0" w:line="240" w:lineRule="auto"/>
        <w:jc w:val="both"/>
        <w:rPr>
          <w:rFonts w:ascii="Times New Roman" w:eastAsia="Calibri" w:hAnsi="Times New Roman" w:cs="Times New Roman"/>
          <w:sz w:val="24"/>
          <w:szCs w:val="24"/>
        </w:rPr>
      </w:pPr>
      <w:hyperlink r:id="rId24" w:history="1">
        <w:r w:rsidR="0002234B" w:rsidRPr="0002234B">
          <w:rPr>
            <w:rFonts w:ascii="Times New Roman" w:eastAsia="Calibri" w:hAnsi="Times New Roman" w:cs="Times New Roman"/>
            <w:color w:val="0000FF"/>
            <w:sz w:val="24"/>
            <w:szCs w:val="24"/>
            <w:u w:val="single"/>
          </w:rPr>
          <w:t>http://www.standardchareteredbank.com</w:t>
        </w:r>
      </w:hyperlink>
    </w:p>
    <w:p w:rsidR="0002234B" w:rsidRPr="0002234B" w:rsidRDefault="00831320" w:rsidP="0002234B">
      <w:pPr>
        <w:spacing w:after="0" w:line="240" w:lineRule="auto"/>
        <w:jc w:val="both"/>
        <w:rPr>
          <w:rFonts w:ascii="Times New Roman" w:eastAsia="Calibri" w:hAnsi="Times New Roman" w:cs="Times New Roman"/>
          <w:sz w:val="24"/>
          <w:szCs w:val="24"/>
        </w:rPr>
      </w:pPr>
      <w:hyperlink r:id="rId25" w:history="1">
        <w:r w:rsidR="0002234B" w:rsidRPr="0002234B">
          <w:rPr>
            <w:rFonts w:ascii="Times New Roman" w:eastAsia="Calibri" w:hAnsi="Times New Roman" w:cs="Times New Roman"/>
            <w:color w:val="0000FF"/>
            <w:sz w:val="24"/>
            <w:szCs w:val="24"/>
            <w:u w:val="single"/>
          </w:rPr>
          <w:t>http://www.nrb.org.np</w:t>
        </w:r>
      </w:hyperlink>
    </w:p>
    <w:p w:rsidR="0002234B" w:rsidRPr="0002234B" w:rsidRDefault="0002234B" w:rsidP="0002234B">
      <w:pPr>
        <w:jc w:val="both"/>
        <w:rPr>
          <w:rFonts w:ascii="Times New Roman" w:eastAsia="Calibri" w:hAnsi="Times New Roman" w:cs="Times New Roman"/>
          <w:sz w:val="24"/>
          <w:szCs w:val="24"/>
        </w:rPr>
      </w:pPr>
    </w:p>
    <w:p w:rsidR="0002234B" w:rsidRPr="0002234B" w:rsidRDefault="0002234B" w:rsidP="0002234B">
      <w:pPr>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Thesis:</w:t>
      </w:r>
    </w:p>
    <w:p w:rsidR="0002234B" w:rsidRPr="0002234B" w:rsidRDefault="0002234B" w:rsidP="0002234B">
      <w:pPr>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 xml:space="preserve"> Khadka Ram Raja (1998) A study on the Investment Policy of Nepal Arab Bank Ltd. in Comparison to Other Joint Venture Banks of Nepal</w:t>
      </w:r>
      <w:r w:rsidRPr="0002234B">
        <w:rPr>
          <w:rFonts w:ascii="Times New Roman" w:eastAsia="Calibri" w:hAnsi="Times New Roman" w:cs="Times New Roman"/>
          <w:sz w:val="24"/>
          <w:szCs w:val="24"/>
        </w:rPr>
        <w:t>, Master Thesis, Shanker Dev Campus.</w:t>
      </w:r>
    </w:p>
    <w:p w:rsidR="0002234B" w:rsidRPr="0002234B" w:rsidRDefault="0002234B" w:rsidP="0002234B">
      <w:pPr>
        <w:jc w:val="both"/>
        <w:rPr>
          <w:rFonts w:ascii="Times New Roman" w:eastAsia="Calibri" w:hAnsi="Times New Roman" w:cs="Times New Roman"/>
          <w:b/>
          <w:bCs/>
          <w:sz w:val="24"/>
          <w:szCs w:val="24"/>
        </w:rPr>
      </w:pPr>
      <w:r w:rsidRPr="0002234B">
        <w:rPr>
          <w:rFonts w:ascii="Times New Roman" w:eastAsia="Calibri" w:hAnsi="Times New Roman" w:cs="Times New Roman"/>
          <w:b/>
          <w:bCs/>
          <w:sz w:val="24"/>
          <w:szCs w:val="24"/>
        </w:rPr>
        <w:t>Ojha Prasad Lila (2002) Lending practices: A study on NABIL Bank Ltd., SCB Nepal ltd, and Himalayan bank Ltd</w:t>
      </w:r>
      <w:r w:rsidRPr="0002234B">
        <w:rPr>
          <w:rFonts w:ascii="Times New Roman" w:eastAsia="Calibri" w:hAnsi="Times New Roman" w:cs="Times New Roman"/>
          <w:sz w:val="24"/>
          <w:szCs w:val="24"/>
        </w:rPr>
        <w:t>, Master Thesis, Shanker Dev Campus.</w:t>
      </w:r>
    </w:p>
    <w:p w:rsidR="0002234B" w:rsidRPr="0002234B" w:rsidRDefault="0002234B" w:rsidP="0002234B">
      <w:pPr>
        <w:jc w:val="both"/>
        <w:rPr>
          <w:rFonts w:ascii="Times New Roman" w:eastAsia="Calibri" w:hAnsi="Times New Roman" w:cs="Times New Roman"/>
          <w:sz w:val="24"/>
          <w:szCs w:val="24"/>
        </w:rPr>
      </w:pPr>
      <w:r w:rsidRPr="0002234B">
        <w:rPr>
          <w:rFonts w:ascii="Times New Roman" w:eastAsia="Calibri" w:hAnsi="Times New Roman" w:cs="Times New Roman"/>
          <w:b/>
          <w:bCs/>
          <w:sz w:val="24"/>
          <w:szCs w:val="24"/>
        </w:rPr>
        <w:t xml:space="preserve">Shahi Prem </w:t>
      </w:r>
      <w:proofErr w:type="gramStart"/>
      <w:r w:rsidRPr="0002234B">
        <w:rPr>
          <w:rFonts w:ascii="Times New Roman" w:eastAsia="Calibri" w:hAnsi="Times New Roman" w:cs="Times New Roman"/>
          <w:b/>
          <w:bCs/>
          <w:sz w:val="24"/>
          <w:szCs w:val="24"/>
        </w:rPr>
        <w:t>Bahadur  (</w:t>
      </w:r>
      <w:proofErr w:type="gramEnd"/>
      <w:r w:rsidRPr="0002234B">
        <w:rPr>
          <w:rFonts w:ascii="Times New Roman" w:eastAsia="Calibri" w:hAnsi="Times New Roman" w:cs="Times New Roman"/>
          <w:b/>
          <w:bCs/>
          <w:sz w:val="24"/>
          <w:szCs w:val="24"/>
        </w:rPr>
        <w:t>1999)</w:t>
      </w:r>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Investment policy of Commercial Banks in Nepal</w:t>
      </w:r>
      <w:r w:rsidRPr="0002234B">
        <w:rPr>
          <w:rFonts w:ascii="Times New Roman" w:eastAsia="Calibri" w:hAnsi="Times New Roman" w:cs="Times New Roman"/>
          <w:sz w:val="24"/>
          <w:szCs w:val="24"/>
        </w:rPr>
        <w:t>, Master Thesis</w:t>
      </w:r>
    </w:p>
    <w:p w:rsidR="0002234B" w:rsidRPr="0002234B" w:rsidRDefault="0002234B" w:rsidP="0002234B">
      <w:pPr>
        <w:jc w:val="both"/>
        <w:rPr>
          <w:rFonts w:ascii="Times New Roman" w:eastAsia="Calibri" w:hAnsi="Times New Roman" w:cs="Times New Roman"/>
          <w:sz w:val="24"/>
          <w:szCs w:val="24"/>
        </w:rPr>
      </w:pPr>
      <w:r w:rsidRPr="0002234B">
        <w:rPr>
          <w:rFonts w:ascii="Times New Roman" w:eastAsia="Calibri" w:hAnsi="Times New Roman" w:cs="Times New Roman"/>
          <w:b/>
          <w:bCs/>
          <w:sz w:val="24"/>
          <w:szCs w:val="24"/>
        </w:rPr>
        <w:t>Shrestha Sabitri (2003)</w:t>
      </w:r>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bCs/>
          <w:sz w:val="24"/>
          <w:szCs w:val="24"/>
        </w:rPr>
        <w:t>Impact and implementation of NRB Guidelines (Directives on Commercial Banks-  A study of Nabil Bank limited and Nepal SBI bank Limited)</w:t>
      </w:r>
      <w:r w:rsidRPr="0002234B">
        <w:rPr>
          <w:rFonts w:ascii="Times New Roman" w:eastAsia="Calibri" w:hAnsi="Times New Roman" w:cs="Times New Roman"/>
          <w:sz w:val="24"/>
          <w:szCs w:val="24"/>
        </w:rPr>
        <w:t>, An unpublished Master Thesis, Shanker Dev Campus.</w:t>
      </w:r>
    </w:p>
    <w:p w:rsidR="0002234B" w:rsidRPr="0002234B" w:rsidRDefault="0002234B" w:rsidP="0002234B">
      <w:pPr>
        <w:jc w:val="both"/>
        <w:rPr>
          <w:rFonts w:ascii="Times New Roman" w:eastAsia="Calibri" w:hAnsi="Times New Roman" w:cs="Times New Roman"/>
          <w:sz w:val="24"/>
          <w:szCs w:val="24"/>
        </w:rPr>
      </w:pPr>
      <w:r w:rsidRPr="0002234B">
        <w:rPr>
          <w:rFonts w:ascii="Times New Roman" w:eastAsia="Calibri" w:hAnsi="Times New Roman" w:cs="Times New Roman"/>
          <w:sz w:val="24"/>
          <w:szCs w:val="24"/>
        </w:rPr>
        <w:t xml:space="preserve">Kaudal Rama (2007), </w:t>
      </w:r>
      <w:proofErr w:type="gramStart"/>
      <w:r w:rsidRPr="0002234B">
        <w:rPr>
          <w:rFonts w:ascii="Times New Roman" w:eastAsia="Calibri" w:hAnsi="Times New Roman" w:cs="Times New Roman"/>
          <w:b/>
          <w:bCs/>
          <w:sz w:val="24"/>
          <w:szCs w:val="24"/>
        </w:rPr>
        <w:t>A</w:t>
      </w:r>
      <w:proofErr w:type="gramEnd"/>
      <w:r w:rsidRPr="0002234B">
        <w:rPr>
          <w:rFonts w:ascii="Times New Roman" w:eastAsia="Calibri" w:hAnsi="Times New Roman" w:cs="Times New Roman"/>
          <w:b/>
          <w:bCs/>
          <w:sz w:val="24"/>
          <w:szCs w:val="24"/>
        </w:rPr>
        <w:t xml:space="preserve"> Study on Investment Policy of Himalayan Bank Limited</w:t>
      </w:r>
      <w:r w:rsidRPr="0002234B">
        <w:rPr>
          <w:rFonts w:ascii="Times New Roman" w:eastAsia="Calibri" w:hAnsi="Times New Roman" w:cs="Times New Roman"/>
          <w:sz w:val="24"/>
          <w:szCs w:val="24"/>
        </w:rPr>
        <w:t xml:space="preserve">, Master Degree Thesis, T.U. </w:t>
      </w:r>
    </w:p>
    <w:p w:rsidR="0002234B" w:rsidRPr="0002234B" w:rsidRDefault="0002234B" w:rsidP="0002234B">
      <w:pPr>
        <w:spacing w:before="10" w:line="360" w:lineRule="auto"/>
        <w:jc w:val="both"/>
        <w:rPr>
          <w:rFonts w:ascii="Times New Roman" w:eastAsia="Calibri" w:hAnsi="Times New Roman" w:cs="Times New Roman"/>
          <w:sz w:val="24"/>
          <w:szCs w:val="24"/>
        </w:rPr>
      </w:pPr>
      <w:r w:rsidRPr="0002234B">
        <w:rPr>
          <w:rFonts w:ascii="Times New Roman" w:eastAsia="Calibri" w:hAnsi="Times New Roman" w:cs="Times New Roman"/>
          <w:b/>
          <w:sz w:val="24"/>
          <w:szCs w:val="24"/>
        </w:rPr>
        <w:t>Thapa (2010)</w:t>
      </w:r>
      <w:r w:rsidRPr="0002234B">
        <w:rPr>
          <w:rFonts w:ascii="Times New Roman" w:eastAsia="Calibri" w:hAnsi="Times New Roman" w:cs="Times New Roman"/>
          <w:sz w:val="24"/>
          <w:szCs w:val="24"/>
        </w:rPr>
        <w:t xml:space="preserve"> “</w:t>
      </w:r>
      <w:r w:rsidRPr="0002234B">
        <w:rPr>
          <w:rFonts w:ascii="Times New Roman" w:eastAsia="Calibri" w:hAnsi="Times New Roman" w:cs="Times New Roman"/>
          <w:b/>
          <w:sz w:val="24"/>
          <w:szCs w:val="24"/>
        </w:rPr>
        <w:t>A comparative study on investment policy of SCBNL and NABIL Bank Ltd.”</w:t>
      </w:r>
      <w:r w:rsidRPr="0002234B">
        <w:rPr>
          <w:rFonts w:ascii="Times New Roman" w:eastAsia="Calibri" w:hAnsi="Times New Roman" w:cs="Times New Roman"/>
          <w:sz w:val="24"/>
          <w:szCs w:val="24"/>
        </w:rPr>
        <w:t xml:space="preserve"> The main objective of the study is to compare investment policy of concern banks and discusses the fund mobilization of sample bank. </w:t>
      </w:r>
    </w:p>
    <w:p w:rsidR="00766977" w:rsidRDefault="00766977">
      <w:pPr>
        <w:rPr>
          <w:rFonts w:ascii="Times New Roman" w:hAnsi="Times New Roman" w:cs="Times New Roman"/>
          <w:sz w:val="24"/>
          <w:szCs w:val="24"/>
        </w:rPr>
      </w:pPr>
      <w:r>
        <w:rPr>
          <w:rFonts w:ascii="Times New Roman" w:hAnsi="Times New Roman" w:cs="Times New Roman"/>
          <w:sz w:val="24"/>
          <w:szCs w:val="24"/>
        </w:rPr>
        <w:br w:type="page"/>
      </w:r>
    </w:p>
    <w:tbl>
      <w:tblPr>
        <w:tblW w:w="9731"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1350"/>
        <w:gridCol w:w="1350"/>
        <w:gridCol w:w="1170"/>
        <w:gridCol w:w="1260"/>
        <w:gridCol w:w="1181"/>
      </w:tblGrid>
      <w:tr w:rsidR="00766977" w:rsidRPr="00EF6F8F" w:rsidTr="00C337D7">
        <w:trPr>
          <w:trHeight w:val="350"/>
        </w:trPr>
        <w:tc>
          <w:tcPr>
            <w:tcW w:w="3420" w:type="dxa"/>
          </w:tcPr>
          <w:p w:rsidR="00766977" w:rsidRPr="00EF6F8F" w:rsidRDefault="00766977" w:rsidP="00C337D7">
            <w:pPr>
              <w:spacing w:after="0" w:line="360" w:lineRule="auto"/>
              <w:ind w:left="65"/>
              <w:jc w:val="center"/>
              <w:rPr>
                <w:rFonts w:ascii="Times New Roman" w:hAnsi="Times New Roman" w:cs="Times New Roman"/>
                <w:b/>
                <w:sz w:val="24"/>
                <w:szCs w:val="24"/>
              </w:rPr>
            </w:pPr>
            <w:r w:rsidRPr="00EF6F8F">
              <w:rPr>
                <w:rFonts w:ascii="Times New Roman" w:hAnsi="Times New Roman" w:cs="Times New Roman"/>
                <w:b/>
                <w:sz w:val="24"/>
                <w:szCs w:val="24"/>
              </w:rPr>
              <w:lastRenderedPageBreak/>
              <w:t>Year</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2064/65</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2065/66</w:t>
            </w:r>
          </w:p>
        </w:tc>
        <w:tc>
          <w:tcPr>
            <w:tcW w:w="117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2066/67</w:t>
            </w:r>
          </w:p>
        </w:tc>
        <w:tc>
          <w:tcPr>
            <w:tcW w:w="126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2067/68</w:t>
            </w:r>
          </w:p>
        </w:tc>
        <w:tc>
          <w:tcPr>
            <w:tcW w:w="1181"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2068/69</w:t>
            </w:r>
          </w:p>
        </w:tc>
      </w:tr>
      <w:tr w:rsidR="00766977" w:rsidRPr="00EF6F8F" w:rsidTr="00C337D7">
        <w:trPr>
          <w:trHeight w:val="4751"/>
        </w:trPr>
        <w:tc>
          <w:tcPr>
            <w:tcW w:w="3420" w:type="dxa"/>
          </w:tcPr>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b/>
                <w:sz w:val="24"/>
                <w:szCs w:val="24"/>
              </w:rPr>
              <w:t>Capital &amp;Liabilities:</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 xml:space="preserve">Share Capital </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Reserve and Funds 2067.61</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 xml:space="preserve">Debentures and Bonds </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Loans and Borrowings</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Deposit Liability</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Bills payables</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 xml:space="preserve">Proposed Dividend </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Income Tax liability</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Other Liabilities</w:t>
            </w:r>
          </w:p>
        </w:tc>
        <w:tc>
          <w:tcPr>
            <w:tcW w:w="1350" w:type="dxa"/>
          </w:tcPr>
          <w:p w:rsidR="00766977" w:rsidRPr="00EF6F8F" w:rsidRDefault="00766977" w:rsidP="00C337D7">
            <w:pPr>
              <w:spacing w:after="0" w:line="360" w:lineRule="auto"/>
              <w:jc w:val="right"/>
              <w:rPr>
                <w:rFonts w:ascii="Times New Roman" w:hAnsi="Times New Roman" w:cs="Times New Roman"/>
                <w:sz w:val="24"/>
                <w:szCs w:val="24"/>
              </w:rPr>
            </w:pP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620.78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1871.76</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29743.99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87.39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506.37</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2.05</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503.43</w:t>
            </w:r>
          </w:p>
        </w:tc>
        <w:tc>
          <w:tcPr>
            <w:tcW w:w="1350" w:type="dxa"/>
          </w:tcPr>
          <w:p w:rsidR="00766977" w:rsidRPr="00EF6F8F" w:rsidRDefault="00766977" w:rsidP="00C337D7">
            <w:pPr>
              <w:spacing w:after="0" w:line="360" w:lineRule="auto"/>
              <w:ind w:left="65"/>
              <w:jc w:val="right"/>
              <w:rPr>
                <w:rFonts w:ascii="Times New Roman" w:hAnsi="Times New Roman" w:cs="Times New Roman"/>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931.97</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2120.50</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300.00</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35871.72</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72.94</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476.29</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4.26</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809.78</w:t>
            </w:r>
          </w:p>
        </w:tc>
        <w:tc>
          <w:tcPr>
            <w:tcW w:w="1170" w:type="dxa"/>
          </w:tcPr>
          <w:p w:rsidR="00766977" w:rsidRPr="00EF6F8F" w:rsidRDefault="00766977" w:rsidP="00C337D7">
            <w:pPr>
              <w:spacing w:after="0" w:line="360" w:lineRule="auto"/>
              <w:ind w:left="65"/>
              <w:jc w:val="right"/>
              <w:rPr>
                <w:rFonts w:ascii="Times New Roman" w:hAnsi="Times New Roman" w:cs="Times New Roman"/>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320.00</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442.45</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2209.31</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41.60</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38.48</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29.52</w:t>
            </w:r>
          </w:p>
        </w:tc>
        <w:tc>
          <w:tcPr>
            <w:tcW w:w="1260" w:type="dxa"/>
          </w:tcPr>
          <w:p w:rsidR="00766977" w:rsidRPr="00EF6F8F" w:rsidRDefault="00766977" w:rsidP="00C337D7">
            <w:pPr>
              <w:spacing w:after="0" w:line="360" w:lineRule="auto"/>
              <w:ind w:left="65"/>
              <w:jc w:val="right"/>
              <w:rPr>
                <w:rFonts w:ascii="Times New Roman" w:hAnsi="Times New Roman" w:cs="Times New Roman"/>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1610.19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2067.61</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350.00</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37999.24</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65.97</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805.08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912.45</w:t>
            </w:r>
          </w:p>
        </w:tc>
        <w:tc>
          <w:tcPr>
            <w:tcW w:w="1181" w:type="dxa"/>
          </w:tcPr>
          <w:p w:rsidR="00766977" w:rsidRPr="00EF6F8F" w:rsidRDefault="00766977" w:rsidP="00C337D7">
            <w:pPr>
              <w:spacing w:after="0" w:line="360" w:lineRule="auto"/>
              <w:ind w:left="65"/>
              <w:jc w:val="right"/>
              <w:rPr>
                <w:rFonts w:ascii="Times New Roman" w:hAnsi="Times New Roman" w:cs="Times New Roman"/>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1851.69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2270.48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35965.63</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86.38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724.58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778.29</w:t>
            </w:r>
          </w:p>
        </w:tc>
      </w:tr>
      <w:tr w:rsidR="00766977" w:rsidRPr="00EF6F8F" w:rsidTr="00C337D7">
        <w:trPr>
          <w:trHeight w:val="182"/>
        </w:trPr>
        <w:tc>
          <w:tcPr>
            <w:tcW w:w="3420" w:type="dxa"/>
          </w:tcPr>
          <w:p w:rsidR="00766977" w:rsidRPr="00EF6F8F" w:rsidRDefault="00766977" w:rsidP="00C337D7">
            <w:pPr>
              <w:spacing w:after="0" w:line="360" w:lineRule="auto"/>
              <w:ind w:left="288"/>
              <w:rPr>
                <w:rFonts w:ascii="Times New Roman" w:hAnsi="Times New Roman" w:cs="Times New Roman"/>
                <w:b/>
                <w:sz w:val="24"/>
                <w:szCs w:val="24"/>
              </w:rPr>
            </w:pPr>
            <w:r w:rsidRPr="00EF6F8F">
              <w:rPr>
                <w:rFonts w:ascii="Times New Roman" w:hAnsi="Times New Roman" w:cs="Times New Roman"/>
                <w:b/>
                <w:sz w:val="24"/>
                <w:szCs w:val="24"/>
              </w:rPr>
              <w:t>Total Liabilities (TL)</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33335.79</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40587.47</w:t>
            </w:r>
          </w:p>
        </w:tc>
        <w:tc>
          <w:tcPr>
            <w:tcW w:w="117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3081.37</w:t>
            </w:r>
          </w:p>
        </w:tc>
        <w:tc>
          <w:tcPr>
            <w:tcW w:w="126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43810.52</w:t>
            </w:r>
          </w:p>
        </w:tc>
        <w:tc>
          <w:tcPr>
            <w:tcW w:w="1181"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41677.05</w:t>
            </w:r>
          </w:p>
        </w:tc>
      </w:tr>
      <w:tr w:rsidR="00766977" w:rsidRPr="00EF6F8F" w:rsidTr="00C337D7">
        <w:trPr>
          <w:trHeight w:val="4437"/>
        </w:trPr>
        <w:tc>
          <w:tcPr>
            <w:tcW w:w="3420" w:type="dxa"/>
          </w:tcPr>
          <w:p w:rsidR="00766977" w:rsidRPr="00EF6F8F" w:rsidRDefault="00766977" w:rsidP="00C337D7">
            <w:pPr>
              <w:spacing w:after="0" w:line="360" w:lineRule="auto"/>
              <w:rPr>
                <w:rFonts w:ascii="Times New Roman" w:hAnsi="Times New Roman" w:cs="Times New Roman"/>
                <w:b/>
                <w:sz w:val="24"/>
                <w:szCs w:val="24"/>
              </w:rPr>
            </w:pPr>
            <w:r w:rsidRPr="00EF6F8F">
              <w:rPr>
                <w:rFonts w:ascii="Times New Roman" w:hAnsi="Times New Roman" w:cs="Times New Roman"/>
                <w:b/>
                <w:sz w:val="24"/>
                <w:szCs w:val="24"/>
              </w:rPr>
              <w:t>Assets:</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Cash Balance</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Balance with Nepal Rastra bank</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Balance with banks/Financial Institution</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Money at Call and short Notice</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 xml:space="preserve">Investment </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Loans, Advances and Bills purchased</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Fixed Assets</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 xml:space="preserve">Non-banking Assets </w:t>
            </w:r>
          </w:p>
          <w:p w:rsidR="00766977" w:rsidRPr="00EF6F8F" w:rsidRDefault="00766977" w:rsidP="00C337D7">
            <w:pPr>
              <w:spacing w:after="0" w:line="360" w:lineRule="auto"/>
              <w:rPr>
                <w:rFonts w:ascii="Times New Roman" w:hAnsi="Times New Roman" w:cs="Times New Roman"/>
                <w:sz w:val="24"/>
                <w:szCs w:val="24"/>
              </w:rPr>
            </w:pPr>
            <w:r w:rsidRPr="00EF6F8F">
              <w:rPr>
                <w:rFonts w:ascii="Times New Roman" w:hAnsi="Times New Roman" w:cs="Times New Roman"/>
                <w:sz w:val="24"/>
                <w:szCs w:val="24"/>
              </w:rPr>
              <w:t>Others</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414.88</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1266.273</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369.09</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2197.54</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13902.82</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13718.59</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117.27</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1349.32</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463.35</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1851.13</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822.68</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2055.55</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20236.12</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13679.76</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137.29</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sz w:val="24"/>
                <w:szCs w:val="24"/>
              </w:rPr>
              <w:t>1341.58</w:t>
            </w:r>
          </w:p>
        </w:tc>
        <w:tc>
          <w:tcPr>
            <w:tcW w:w="1170" w:type="dxa"/>
          </w:tcPr>
          <w:p w:rsidR="00766977" w:rsidRPr="00EF6F8F" w:rsidRDefault="00766977" w:rsidP="00C337D7">
            <w:pPr>
              <w:spacing w:after="0" w:line="360" w:lineRule="auto"/>
              <w:ind w:left="65"/>
              <w:jc w:val="right"/>
              <w:rPr>
                <w:rFonts w:ascii="Times New Roman" w:hAnsi="Times New Roman" w:cs="Times New Roman"/>
                <w:sz w:val="24"/>
                <w:szCs w:val="24"/>
              </w:rPr>
            </w:pP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0.01</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12.95</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129.89</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1027.52</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1845.31</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1.93</w:t>
            </w:r>
          </w:p>
          <w:p w:rsidR="00766977" w:rsidRPr="00EF6F8F" w:rsidRDefault="00766977" w:rsidP="00C337D7">
            <w:pPr>
              <w:spacing w:after="0" w:line="360" w:lineRule="auto"/>
              <w:ind w:left="65"/>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sz w:val="24"/>
                <w:szCs w:val="24"/>
              </w:rPr>
              <w:t>63.75</w:t>
            </w:r>
          </w:p>
        </w:tc>
        <w:tc>
          <w:tcPr>
            <w:tcW w:w="1260" w:type="dxa"/>
          </w:tcPr>
          <w:p w:rsidR="00766977" w:rsidRPr="00EF6F8F" w:rsidRDefault="00766977" w:rsidP="00C337D7">
            <w:pPr>
              <w:spacing w:after="0" w:line="360" w:lineRule="auto"/>
              <w:jc w:val="right"/>
              <w:rPr>
                <w:rFonts w:ascii="Times New Roman" w:hAnsi="Times New Roman" w:cs="Times New Roman"/>
                <w:sz w:val="24"/>
                <w:szCs w:val="24"/>
              </w:rPr>
            </w:pP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610.69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1638.28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726.23</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4280.89</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17258.68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18427.27</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106.07</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761.81</w:t>
            </w:r>
          </w:p>
        </w:tc>
        <w:tc>
          <w:tcPr>
            <w:tcW w:w="1181" w:type="dxa"/>
          </w:tcPr>
          <w:p w:rsidR="00766977" w:rsidRPr="00EF6F8F" w:rsidRDefault="00766977" w:rsidP="00C337D7">
            <w:pPr>
              <w:spacing w:after="0" w:line="360" w:lineRule="auto"/>
              <w:ind w:left="65"/>
              <w:jc w:val="right"/>
              <w:rPr>
                <w:rFonts w:ascii="Times New Roman" w:hAnsi="Times New Roman" w:cs="Times New Roman"/>
                <w:b/>
                <w:sz w:val="24"/>
                <w:szCs w:val="24"/>
              </w:rPr>
            </w:pP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509.68</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4833.92</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1022.63</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2126.03</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12938.22</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19575.97</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89.63</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_</w:t>
            </w:r>
          </w:p>
          <w:p w:rsidR="00766977" w:rsidRPr="00EF6F8F" w:rsidRDefault="00766977" w:rsidP="00C337D7">
            <w:pPr>
              <w:spacing w:after="0" w:line="360" w:lineRule="auto"/>
              <w:jc w:val="right"/>
              <w:rPr>
                <w:rFonts w:ascii="Times New Roman" w:hAnsi="Times New Roman" w:cs="Times New Roman"/>
                <w:sz w:val="24"/>
                <w:szCs w:val="24"/>
              </w:rPr>
            </w:pPr>
            <w:r w:rsidRPr="00EF6F8F">
              <w:rPr>
                <w:rFonts w:ascii="Times New Roman" w:hAnsi="Times New Roman" w:cs="Times New Roman"/>
                <w:sz w:val="24"/>
                <w:szCs w:val="24"/>
              </w:rPr>
              <w:t>580.97</w:t>
            </w:r>
          </w:p>
        </w:tc>
      </w:tr>
      <w:tr w:rsidR="00766977" w:rsidRPr="00EF6F8F" w:rsidTr="00C337D7">
        <w:trPr>
          <w:trHeight w:val="598"/>
        </w:trPr>
        <w:tc>
          <w:tcPr>
            <w:tcW w:w="3420" w:type="dxa"/>
          </w:tcPr>
          <w:p w:rsidR="00766977" w:rsidRPr="00EF6F8F" w:rsidRDefault="00766977" w:rsidP="00C337D7">
            <w:pPr>
              <w:spacing w:after="0" w:line="360" w:lineRule="auto"/>
              <w:rPr>
                <w:rFonts w:ascii="Times New Roman" w:hAnsi="Times New Roman" w:cs="Times New Roman"/>
                <w:b/>
                <w:sz w:val="24"/>
                <w:szCs w:val="24"/>
              </w:rPr>
            </w:pPr>
            <w:r w:rsidRPr="00EF6F8F">
              <w:rPr>
                <w:rFonts w:ascii="Times New Roman" w:hAnsi="Times New Roman" w:cs="Times New Roman"/>
                <w:b/>
                <w:sz w:val="24"/>
                <w:szCs w:val="24"/>
              </w:rPr>
              <w:t>Total Assets (TA)</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33335.79</w:t>
            </w:r>
          </w:p>
        </w:tc>
        <w:tc>
          <w:tcPr>
            <w:tcW w:w="135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40587.47</w:t>
            </w:r>
          </w:p>
        </w:tc>
        <w:tc>
          <w:tcPr>
            <w:tcW w:w="1170"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3081.37</w:t>
            </w:r>
          </w:p>
        </w:tc>
        <w:tc>
          <w:tcPr>
            <w:tcW w:w="1260" w:type="dxa"/>
          </w:tcPr>
          <w:p w:rsidR="00766977" w:rsidRPr="00EF6F8F" w:rsidRDefault="00766977" w:rsidP="00C337D7">
            <w:pPr>
              <w:spacing w:after="0" w:line="360" w:lineRule="auto"/>
              <w:jc w:val="right"/>
              <w:rPr>
                <w:rFonts w:ascii="Times New Roman" w:hAnsi="Times New Roman" w:cs="Times New Roman"/>
                <w:b/>
                <w:sz w:val="24"/>
                <w:szCs w:val="24"/>
              </w:rPr>
            </w:pPr>
            <w:r w:rsidRPr="00EF6F8F">
              <w:rPr>
                <w:rFonts w:ascii="Times New Roman" w:hAnsi="Times New Roman" w:cs="Times New Roman"/>
                <w:b/>
                <w:sz w:val="24"/>
                <w:szCs w:val="24"/>
              </w:rPr>
              <w:t>43810.52</w:t>
            </w:r>
          </w:p>
        </w:tc>
        <w:tc>
          <w:tcPr>
            <w:tcW w:w="1181" w:type="dxa"/>
          </w:tcPr>
          <w:p w:rsidR="00766977" w:rsidRPr="00EF6F8F" w:rsidRDefault="00766977" w:rsidP="00C337D7">
            <w:pPr>
              <w:spacing w:after="0" w:line="360" w:lineRule="auto"/>
              <w:ind w:left="65"/>
              <w:jc w:val="right"/>
              <w:rPr>
                <w:rFonts w:ascii="Times New Roman" w:hAnsi="Times New Roman" w:cs="Times New Roman"/>
                <w:b/>
                <w:sz w:val="24"/>
                <w:szCs w:val="24"/>
              </w:rPr>
            </w:pPr>
            <w:r w:rsidRPr="00EF6F8F">
              <w:rPr>
                <w:rFonts w:ascii="Times New Roman" w:hAnsi="Times New Roman" w:cs="Times New Roman"/>
                <w:b/>
                <w:sz w:val="24"/>
                <w:szCs w:val="24"/>
              </w:rPr>
              <w:t>41677.05</w:t>
            </w:r>
          </w:p>
        </w:tc>
      </w:tr>
    </w:tbl>
    <w:p w:rsidR="00766977" w:rsidRPr="00EF6F8F" w:rsidRDefault="00766977" w:rsidP="00766977">
      <w:pPr>
        <w:spacing w:after="0" w:line="360" w:lineRule="auto"/>
        <w:rPr>
          <w:rFonts w:ascii="Times New Roman" w:hAnsi="Times New Roman" w:cs="Times New Roman"/>
          <w:sz w:val="24"/>
          <w:szCs w:val="24"/>
        </w:rPr>
      </w:pPr>
    </w:p>
    <w:p w:rsidR="005130C0" w:rsidRPr="00111B84" w:rsidRDefault="005130C0" w:rsidP="00D25535">
      <w:pPr>
        <w:tabs>
          <w:tab w:val="left" w:pos="3208"/>
        </w:tabs>
        <w:spacing w:after="0" w:line="360" w:lineRule="auto"/>
        <w:rPr>
          <w:rFonts w:ascii="Times New Roman" w:hAnsi="Times New Roman" w:cs="Times New Roman"/>
          <w:sz w:val="24"/>
          <w:szCs w:val="24"/>
        </w:rPr>
      </w:pPr>
      <w:bookmarkStart w:id="2" w:name="_GoBack"/>
      <w:bookmarkEnd w:id="2"/>
    </w:p>
    <w:sectPr w:rsidR="005130C0" w:rsidRPr="00111B84" w:rsidSect="00B5238C">
      <w:headerReference w:type="default" r:id="rId26"/>
      <w:footerReference w:type="default" r:id="rId27"/>
      <w:pgSz w:w="11909" w:h="16834"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320" w:rsidRDefault="00831320" w:rsidP="00054295">
      <w:pPr>
        <w:spacing w:after="0" w:line="240" w:lineRule="auto"/>
      </w:pPr>
      <w:r>
        <w:separator/>
      </w:r>
    </w:p>
  </w:endnote>
  <w:endnote w:type="continuationSeparator" w:id="0">
    <w:p w:rsidR="00831320" w:rsidRDefault="00831320" w:rsidP="000542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96334"/>
      <w:docPartObj>
        <w:docPartGallery w:val="Page Numbers (Bottom of Page)"/>
        <w:docPartUnique/>
      </w:docPartObj>
    </w:sdtPr>
    <w:sdtEndPr/>
    <w:sdtContent>
      <w:p w:rsidR="00E143DF" w:rsidRDefault="002F19D3">
        <w:pPr>
          <w:pStyle w:val="Footer"/>
          <w:jc w:val="center"/>
        </w:pPr>
        <w:r>
          <w:fldChar w:fldCharType="begin"/>
        </w:r>
        <w:r>
          <w:instrText xml:space="preserve"> PAGE   \* MERGEFORMAT </w:instrText>
        </w:r>
        <w:r>
          <w:fldChar w:fldCharType="separate"/>
        </w:r>
        <w:r w:rsidR="00766977">
          <w:rPr>
            <w:noProof/>
          </w:rPr>
          <w:t>68</w:t>
        </w:r>
        <w:r>
          <w:rPr>
            <w:noProof/>
          </w:rPr>
          <w:fldChar w:fldCharType="end"/>
        </w:r>
      </w:p>
    </w:sdtContent>
  </w:sdt>
  <w:p w:rsidR="00E143DF" w:rsidRDefault="00E143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320" w:rsidRDefault="00831320" w:rsidP="00054295">
      <w:pPr>
        <w:spacing w:after="0" w:line="240" w:lineRule="auto"/>
      </w:pPr>
      <w:r>
        <w:separator/>
      </w:r>
    </w:p>
  </w:footnote>
  <w:footnote w:type="continuationSeparator" w:id="0">
    <w:p w:rsidR="00831320" w:rsidRDefault="00831320" w:rsidP="000542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3DF" w:rsidRPr="00B42D59" w:rsidRDefault="00E143DF" w:rsidP="00962431">
    <w:pPr>
      <w:pStyle w:val="Header"/>
      <w:rPr>
        <w:i/>
      </w:rPr>
    </w:pPr>
    <w:r w:rsidRPr="00111B84">
      <w:rPr>
        <w:rFonts w:ascii="Times New Roman" w:hAnsi="Times New Roman" w:cs="Times New Roman"/>
        <w:i/>
      </w:rPr>
      <w:t xml:space="preserve">                                                  </w:t>
    </w:r>
    <w:r w:rsidR="00B5238C">
      <w:rPr>
        <w:rFonts w:ascii="Times New Roman" w:hAnsi="Times New Roman" w:cs="Times New Roman"/>
        <w:i/>
      </w:rPr>
      <w:t xml:space="preserve">     </w:t>
    </w:r>
    <w:r w:rsidRPr="00111B84">
      <w:rPr>
        <w:rFonts w:ascii="Times New Roman" w:hAnsi="Times New Roman" w:cs="Times New Roman"/>
        <w:i/>
      </w:rPr>
      <w:t>Investment policies of Standard Chartered Bank Nepal Ltd</w:t>
    </w:r>
    <w:r w:rsidRPr="00B42D59">
      <w:rPr>
        <w:i/>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F222E"/>
    <w:multiLevelType w:val="hybridMultilevel"/>
    <w:tmpl w:val="7CBE1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3B0AF2"/>
    <w:multiLevelType w:val="hybridMultilevel"/>
    <w:tmpl w:val="F0C68EF6"/>
    <w:lvl w:ilvl="0" w:tplc="0409001B">
      <w:start w:val="1"/>
      <w:numFmt w:val="lowerRoman"/>
      <w:lvlText w:val="%1."/>
      <w:lvlJc w:val="righ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57E64DC"/>
    <w:multiLevelType w:val="hybridMultilevel"/>
    <w:tmpl w:val="245E7176"/>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3">
    <w:nsid w:val="059F4BAA"/>
    <w:multiLevelType w:val="hybridMultilevel"/>
    <w:tmpl w:val="F96C4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2C4B7F"/>
    <w:multiLevelType w:val="hybridMultilevel"/>
    <w:tmpl w:val="3A729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A72726E"/>
    <w:multiLevelType w:val="hybridMultilevel"/>
    <w:tmpl w:val="7DD84F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0A7E370F"/>
    <w:multiLevelType w:val="hybridMultilevel"/>
    <w:tmpl w:val="0A9EC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7340BD"/>
    <w:multiLevelType w:val="hybridMultilevel"/>
    <w:tmpl w:val="4EDA8C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0896DFA"/>
    <w:multiLevelType w:val="hybridMultilevel"/>
    <w:tmpl w:val="BED0A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B20362"/>
    <w:multiLevelType w:val="hybridMultilevel"/>
    <w:tmpl w:val="2F0C31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6954ECD"/>
    <w:multiLevelType w:val="hybridMultilevel"/>
    <w:tmpl w:val="C9D80AC4"/>
    <w:lvl w:ilvl="0" w:tplc="1B165E40">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1">
    <w:nsid w:val="2EB351AF"/>
    <w:multiLevelType w:val="hybridMultilevel"/>
    <w:tmpl w:val="DDD2709A"/>
    <w:lvl w:ilvl="0" w:tplc="4A6699CA">
      <w:start w:val="1"/>
      <w:numFmt w:val="bullet"/>
      <w:lvlText w:val=""/>
      <w:lvlJc w:val="left"/>
      <w:pPr>
        <w:tabs>
          <w:tab w:val="num" w:pos="720"/>
        </w:tabs>
        <w:ind w:left="720" w:hanging="360"/>
      </w:pPr>
      <w:rPr>
        <w:rFonts w:ascii="Wingdings 2" w:hAnsi="Wingdings 2" w:cs="Wingdings 2" w:hint="default"/>
      </w:rPr>
    </w:lvl>
    <w:lvl w:ilvl="1" w:tplc="484267E8">
      <w:start w:val="1"/>
      <w:numFmt w:val="bullet"/>
      <w:lvlText w:val=""/>
      <w:lvlJc w:val="left"/>
      <w:pPr>
        <w:tabs>
          <w:tab w:val="num" w:pos="1440"/>
        </w:tabs>
        <w:ind w:left="1440" w:hanging="360"/>
      </w:pPr>
      <w:rPr>
        <w:rFonts w:ascii="Wingdings 2" w:hAnsi="Wingdings 2" w:cs="Wingdings 2" w:hint="default"/>
      </w:rPr>
    </w:lvl>
    <w:lvl w:ilvl="2" w:tplc="A8FC70B6">
      <w:start w:val="1"/>
      <w:numFmt w:val="bullet"/>
      <w:lvlText w:val=""/>
      <w:lvlJc w:val="left"/>
      <w:pPr>
        <w:tabs>
          <w:tab w:val="num" w:pos="2160"/>
        </w:tabs>
        <w:ind w:left="2160" w:hanging="360"/>
      </w:pPr>
      <w:rPr>
        <w:rFonts w:ascii="Wingdings 2" w:hAnsi="Wingdings 2" w:cs="Wingdings 2" w:hint="default"/>
      </w:rPr>
    </w:lvl>
    <w:lvl w:ilvl="3" w:tplc="6BA88060">
      <w:start w:val="1"/>
      <w:numFmt w:val="bullet"/>
      <w:lvlText w:val=""/>
      <w:lvlJc w:val="left"/>
      <w:pPr>
        <w:tabs>
          <w:tab w:val="num" w:pos="2880"/>
        </w:tabs>
        <w:ind w:left="2880" w:hanging="360"/>
      </w:pPr>
      <w:rPr>
        <w:rFonts w:ascii="Wingdings 2" w:hAnsi="Wingdings 2" w:cs="Wingdings 2" w:hint="default"/>
      </w:rPr>
    </w:lvl>
    <w:lvl w:ilvl="4" w:tplc="495CB5FA">
      <w:start w:val="1"/>
      <w:numFmt w:val="bullet"/>
      <w:lvlText w:val=""/>
      <w:lvlJc w:val="left"/>
      <w:pPr>
        <w:tabs>
          <w:tab w:val="num" w:pos="3600"/>
        </w:tabs>
        <w:ind w:left="3600" w:hanging="360"/>
      </w:pPr>
      <w:rPr>
        <w:rFonts w:ascii="Wingdings 2" w:hAnsi="Wingdings 2" w:cs="Wingdings 2" w:hint="default"/>
      </w:rPr>
    </w:lvl>
    <w:lvl w:ilvl="5" w:tplc="ED5EB75E">
      <w:start w:val="1"/>
      <w:numFmt w:val="bullet"/>
      <w:lvlText w:val=""/>
      <w:lvlJc w:val="left"/>
      <w:pPr>
        <w:tabs>
          <w:tab w:val="num" w:pos="4320"/>
        </w:tabs>
        <w:ind w:left="4320" w:hanging="360"/>
      </w:pPr>
      <w:rPr>
        <w:rFonts w:ascii="Wingdings 2" w:hAnsi="Wingdings 2" w:cs="Wingdings 2" w:hint="default"/>
      </w:rPr>
    </w:lvl>
    <w:lvl w:ilvl="6" w:tplc="424CBCA6">
      <w:start w:val="1"/>
      <w:numFmt w:val="bullet"/>
      <w:lvlText w:val=""/>
      <w:lvlJc w:val="left"/>
      <w:pPr>
        <w:tabs>
          <w:tab w:val="num" w:pos="5040"/>
        </w:tabs>
        <w:ind w:left="5040" w:hanging="360"/>
      </w:pPr>
      <w:rPr>
        <w:rFonts w:ascii="Wingdings 2" w:hAnsi="Wingdings 2" w:cs="Wingdings 2" w:hint="default"/>
      </w:rPr>
    </w:lvl>
    <w:lvl w:ilvl="7" w:tplc="9D240052">
      <w:start w:val="1"/>
      <w:numFmt w:val="bullet"/>
      <w:lvlText w:val=""/>
      <w:lvlJc w:val="left"/>
      <w:pPr>
        <w:tabs>
          <w:tab w:val="num" w:pos="5760"/>
        </w:tabs>
        <w:ind w:left="5760" w:hanging="360"/>
      </w:pPr>
      <w:rPr>
        <w:rFonts w:ascii="Wingdings 2" w:hAnsi="Wingdings 2" w:cs="Wingdings 2" w:hint="default"/>
      </w:rPr>
    </w:lvl>
    <w:lvl w:ilvl="8" w:tplc="B9FC6B6C">
      <w:start w:val="1"/>
      <w:numFmt w:val="bullet"/>
      <w:lvlText w:val=""/>
      <w:lvlJc w:val="left"/>
      <w:pPr>
        <w:tabs>
          <w:tab w:val="num" w:pos="6480"/>
        </w:tabs>
        <w:ind w:left="6480" w:hanging="360"/>
      </w:pPr>
      <w:rPr>
        <w:rFonts w:ascii="Wingdings 2" w:hAnsi="Wingdings 2" w:cs="Wingdings 2" w:hint="default"/>
      </w:rPr>
    </w:lvl>
  </w:abstractNum>
  <w:abstractNum w:abstractNumId="12">
    <w:nsid w:val="358B4AFF"/>
    <w:multiLevelType w:val="hybridMultilevel"/>
    <w:tmpl w:val="9DE28A50"/>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3">
    <w:nsid w:val="37880AE4"/>
    <w:multiLevelType w:val="multilevel"/>
    <w:tmpl w:val="0DAAA3D0"/>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3C4D0498"/>
    <w:multiLevelType w:val="hybridMultilevel"/>
    <w:tmpl w:val="F3A6B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4C2B23"/>
    <w:multiLevelType w:val="hybridMultilevel"/>
    <w:tmpl w:val="8B12CE68"/>
    <w:lvl w:ilvl="0" w:tplc="D1F2CC82">
      <w:start w:val="1"/>
      <w:numFmt w:val="upperLetter"/>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6">
    <w:nsid w:val="40C7471A"/>
    <w:multiLevelType w:val="multilevel"/>
    <w:tmpl w:val="317CCE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447D22A9"/>
    <w:multiLevelType w:val="hybridMultilevel"/>
    <w:tmpl w:val="C600A0EC"/>
    <w:lvl w:ilvl="0" w:tplc="04090011">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18">
    <w:nsid w:val="52060148"/>
    <w:multiLevelType w:val="hybridMultilevel"/>
    <w:tmpl w:val="B41E7E1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nsid w:val="6312664C"/>
    <w:multiLevelType w:val="multilevel"/>
    <w:tmpl w:val="AC6E8828"/>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sz w:val="26"/>
        <w:szCs w:val="26"/>
      </w:rPr>
    </w:lvl>
    <w:lvl w:ilvl="2">
      <w:start w:val="1"/>
      <w:numFmt w:val="decimal"/>
      <w:isLgl/>
      <w:lvlText w:val="%1.%2.%3"/>
      <w:lvlJc w:val="left"/>
      <w:pPr>
        <w:ind w:left="1080" w:hanging="1080"/>
      </w:pPr>
      <w:rPr>
        <w:rFonts w:hint="default"/>
        <w:sz w:val="36"/>
        <w:szCs w:val="36"/>
      </w:rPr>
    </w:lvl>
    <w:lvl w:ilvl="3">
      <w:start w:val="1"/>
      <w:numFmt w:val="decimal"/>
      <w:isLgl/>
      <w:lvlText w:val="%1.%2.%3.%4"/>
      <w:lvlJc w:val="left"/>
      <w:pPr>
        <w:ind w:left="1440" w:hanging="1440"/>
      </w:pPr>
      <w:rPr>
        <w:rFonts w:hint="default"/>
        <w:sz w:val="36"/>
        <w:szCs w:val="36"/>
      </w:rPr>
    </w:lvl>
    <w:lvl w:ilvl="4">
      <w:start w:val="1"/>
      <w:numFmt w:val="decimal"/>
      <w:isLgl/>
      <w:lvlText w:val="%1.%2.%3.%4.%5"/>
      <w:lvlJc w:val="left"/>
      <w:pPr>
        <w:ind w:left="1440" w:hanging="1440"/>
      </w:pPr>
      <w:rPr>
        <w:rFonts w:hint="default"/>
        <w:sz w:val="36"/>
        <w:szCs w:val="36"/>
      </w:rPr>
    </w:lvl>
    <w:lvl w:ilvl="5">
      <w:start w:val="1"/>
      <w:numFmt w:val="decimal"/>
      <w:isLgl/>
      <w:lvlText w:val="%1.%2.%3.%4.%5.%6"/>
      <w:lvlJc w:val="left"/>
      <w:pPr>
        <w:ind w:left="1800" w:hanging="1800"/>
      </w:pPr>
      <w:rPr>
        <w:rFonts w:hint="default"/>
        <w:sz w:val="36"/>
        <w:szCs w:val="36"/>
      </w:rPr>
    </w:lvl>
    <w:lvl w:ilvl="6">
      <w:start w:val="1"/>
      <w:numFmt w:val="decimal"/>
      <w:isLgl/>
      <w:lvlText w:val="%1.%2.%3.%4.%5.%6.%7"/>
      <w:lvlJc w:val="left"/>
      <w:pPr>
        <w:ind w:left="2160" w:hanging="2160"/>
      </w:pPr>
      <w:rPr>
        <w:rFonts w:hint="default"/>
        <w:sz w:val="36"/>
        <w:szCs w:val="36"/>
      </w:rPr>
    </w:lvl>
    <w:lvl w:ilvl="7">
      <w:start w:val="1"/>
      <w:numFmt w:val="decimal"/>
      <w:isLgl/>
      <w:lvlText w:val="%1.%2.%3.%4.%5.%6.%7.%8"/>
      <w:lvlJc w:val="left"/>
      <w:pPr>
        <w:ind w:left="2520" w:hanging="2520"/>
      </w:pPr>
      <w:rPr>
        <w:rFonts w:hint="default"/>
        <w:sz w:val="36"/>
        <w:szCs w:val="36"/>
      </w:rPr>
    </w:lvl>
    <w:lvl w:ilvl="8">
      <w:start w:val="1"/>
      <w:numFmt w:val="decimal"/>
      <w:isLgl/>
      <w:lvlText w:val="%1.%2.%3.%4.%5.%6.%7.%8.%9"/>
      <w:lvlJc w:val="left"/>
      <w:pPr>
        <w:ind w:left="2880" w:hanging="2880"/>
      </w:pPr>
      <w:rPr>
        <w:rFonts w:hint="default"/>
        <w:sz w:val="36"/>
        <w:szCs w:val="36"/>
      </w:rPr>
    </w:lvl>
  </w:abstractNum>
  <w:abstractNum w:abstractNumId="20">
    <w:nsid w:val="6336506E"/>
    <w:multiLevelType w:val="hybridMultilevel"/>
    <w:tmpl w:val="BEAA00B8"/>
    <w:lvl w:ilvl="0" w:tplc="A8C8B124">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74023A3B"/>
    <w:multiLevelType w:val="hybridMultilevel"/>
    <w:tmpl w:val="35C07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B3B4F04"/>
    <w:multiLevelType w:val="hybridMultilevel"/>
    <w:tmpl w:val="1F4AAB46"/>
    <w:lvl w:ilvl="0" w:tplc="1930C900">
      <w:start w:val="1"/>
      <w:numFmt w:val="decimal"/>
      <w:lvlText w:val="%1."/>
      <w:lvlJc w:val="left"/>
      <w:pPr>
        <w:tabs>
          <w:tab w:val="num" w:pos="720"/>
        </w:tabs>
        <w:ind w:left="720" w:hanging="360"/>
      </w:pPr>
    </w:lvl>
    <w:lvl w:ilvl="1" w:tplc="8722B660">
      <w:start w:val="1"/>
      <w:numFmt w:val="decimal"/>
      <w:lvlText w:val="%2."/>
      <w:lvlJc w:val="left"/>
      <w:pPr>
        <w:tabs>
          <w:tab w:val="num" w:pos="1440"/>
        </w:tabs>
        <w:ind w:left="1440" w:hanging="360"/>
      </w:pPr>
    </w:lvl>
    <w:lvl w:ilvl="2" w:tplc="FAF2BCD2">
      <w:start w:val="1"/>
      <w:numFmt w:val="decimal"/>
      <w:lvlText w:val="%3."/>
      <w:lvlJc w:val="left"/>
      <w:pPr>
        <w:tabs>
          <w:tab w:val="num" w:pos="2160"/>
        </w:tabs>
        <w:ind w:left="2160" w:hanging="360"/>
      </w:pPr>
    </w:lvl>
    <w:lvl w:ilvl="3" w:tplc="67046C4C">
      <w:start w:val="1"/>
      <w:numFmt w:val="decimal"/>
      <w:lvlText w:val="%4."/>
      <w:lvlJc w:val="left"/>
      <w:pPr>
        <w:tabs>
          <w:tab w:val="num" w:pos="2880"/>
        </w:tabs>
        <w:ind w:left="2880" w:hanging="360"/>
      </w:pPr>
    </w:lvl>
    <w:lvl w:ilvl="4" w:tplc="35FC6D46">
      <w:start w:val="1"/>
      <w:numFmt w:val="decimal"/>
      <w:lvlText w:val="%5."/>
      <w:lvlJc w:val="left"/>
      <w:pPr>
        <w:tabs>
          <w:tab w:val="num" w:pos="3600"/>
        </w:tabs>
        <w:ind w:left="3600" w:hanging="360"/>
      </w:pPr>
    </w:lvl>
    <w:lvl w:ilvl="5" w:tplc="88A6D95E">
      <w:start w:val="1"/>
      <w:numFmt w:val="decimal"/>
      <w:lvlText w:val="%6."/>
      <w:lvlJc w:val="left"/>
      <w:pPr>
        <w:tabs>
          <w:tab w:val="num" w:pos="4320"/>
        </w:tabs>
        <w:ind w:left="4320" w:hanging="360"/>
      </w:pPr>
    </w:lvl>
    <w:lvl w:ilvl="6" w:tplc="96D29262">
      <w:start w:val="1"/>
      <w:numFmt w:val="decimal"/>
      <w:lvlText w:val="%7."/>
      <w:lvlJc w:val="left"/>
      <w:pPr>
        <w:tabs>
          <w:tab w:val="num" w:pos="5040"/>
        </w:tabs>
        <w:ind w:left="5040" w:hanging="360"/>
      </w:pPr>
    </w:lvl>
    <w:lvl w:ilvl="7" w:tplc="416C34A2">
      <w:start w:val="1"/>
      <w:numFmt w:val="decimal"/>
      <w:lvlText w:val="%8."/>
      <w:lvlJc w:val="left"/>
      <w:pPr>
        <w:tabs>
          <w:tab w:val="num" w:pos="5760"/>
        </w:tabs>
        <w:ind w:left="5760" w:hanging="360"/>
      </w:pPr>
    </w:lvl>
    <w:lvl w:ilvl="8" w:tplc="A9780B96">
      <w:start w:val="1"/>
      <w:numFmt w:val="decimal"/>
      <w:lvlText w:val="%9."/>
      <w:lvlJc w:val="left"/>
      <w:pPr>
        <w:tabs>
          <w:tab w:val="num" w:pos="6480"/>
        </w:tabs>
        <w:ind w:left="6480" w:hanging="360"/>
      </w:pPr>
    </w:lvl>
  </w:abstractNum>
  <w:abstractNum w:abstractNumId="23">
    <w:nsid w:val="7E2E04C1"/>
    <w:multiLevelType w:val="multilevel"/>
    <w:tmpl w:val="8698182C"/>
    <w:lvl w:ilvl="0">
      <w:start w:val="1"/>
      <w:numFmt w:val="decimal"/>
      <w:lvlText w:val="%1."/>
      <w:lvlJc w:val="left"/>
      <w:pPr>
        <w:tabs>
          <w:tab w:val="num" w:pos="720"/>
        </w:tabs>
        <w:ind w:left="720" w:hanging="360"/>
      </w:pPr>
    </w:lvl>
    <w:lvl w:ilvl="1">
      <w:start w:val="2"/>
      <w:numFmt w:val="decimal"/>
      <w:isLgl/>
      <w:lvlText w:val="%1.%2."/>
      <w:lvlJc w:val="left"/>
      <w:pPr>
        <w:ind w:left="108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4">
    <w:nsid w:val="7E81755E"/>
    <w:multiLevelType w:val="hybridMultilevel"/>
    <w:tmpl w:val="76A86A4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0"/>
  </w:num>
  <w:num w:numId="3">
    <w:abstractNumId w:val="22"/>
  </w:num>
  <w:num w:numId="4">
    <w:abstractNumId w:val="16"/>
  </w:num>
  <w:num w:numId="5">
    <w:abstractNumId w:val="19"/>
  </w:num>
  <w:num w:numId="6">
    <w:abstractNumId w:val="12"/>
  </w:num>
  <w:num w:numId="7">
    <w:abstractNumId w:val="7"/>
  </w:num>
  <w:num w:numId="8">
    <w:abstractNumId w:val="23"/>
  </w:num>
  <w:num w:numId="9">
    <w:abstractNumId w:val="11"/>
  </w:num>
  <w:num w:numId="10">
    <w:abstractNumId w:val="2"/>
  </w:num>
  <w:num w:numId="11">
    <w:abstractNumId w:val="1"/>
  </w:num>
  <w:num w:numId="12">
    <w:abstractNumId w:val="5"/>
  </w:num>
  <w:num w:numId="13">
    <w:abstractNumId w:val="24"/>
  </w:num>
  <w:num w:numId="14">
    <w:abstractNumId w:val="9"/>
  </w:num>
  <w:num w:numId="15">
    <w:abstractNumId w:val="13"/>
  </w:num>
  <w:num w:numId="16">
    <w:abstractNumId w:val="21"/>
  </w:num>
  <w:num w:numId="17">
    <w:abstractNumId w:val="3"/>
  </w:num>
  <w:num w:numId="18">
    <w:abstractNumId w:val="6"/>
  </w:num>
  <w:num w:numId="19">
    <w:abstractNumId w:val="8"/>
  </w:num>
  <w:num w:numId="20">
    <w:abstractNumId w:val="20"/>
  </w:num>
  <w:num w:numId="21">
    <w:abstractNumId w:val="18"/>
  </w:num>
  <w:num w:numId="22">
    <w:abstractNumId w:val="15"/>
  </w:num>
  <w:num w:numId="23">
    <w:abstractNumId w:val="4"/>
  </w:num>
  <w:num w:numId="24">
    <w:abstractNumId w:val="17"/>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6E6084"/>
    <w:rsid w:val="0002234B"/>
    <w:rsid w:val="000223C1"/>
    <w:rsid w:val="00025DCA"/>
    <w:rsid w:val="00041372"/>
    <w:rsid w:val="00054295"/>
    <w:rsid w:val="00060A1A"/>
    <w:rsid w:val="00063785"/>
    <w:rsid w:val="00073D1F"/>
    <w:rsid w:val="000816CA"/>
    <w:rsid w:val="00085E92"/>
    <w:rsid w:val="00096975"/>
    <w:rsid w:val="000A1858"/>
    <w:rsid w:val="000A249C"/>
    <w:rsid w:val="000A497C"/>
    <w:rsid w:val="000B0A46"/>
    <w:rsid w:val="000B352A"/>
    <w:rsid w:val="000B4DF6"/>
    <w:rsid w:val="000C1CA3"/>
    <w:rsid w:val="00102B27"/>
    <w:rsid w:val="00111B84"/>
    <w:rsid w:val="00112B87"/>
    <w:rsid w:val="0011377E"/>
    <w:rsid w:val="0012045D"/>
    <w:rsid w:val="00166207"/>
    <w:rsid w:val="00166B2F"/>
    <w:rsid w:val="00176BD2"/>
    <w:rsid w:val="00181DC3"/>
    <w:rsid w:val="00182C0F"/>
    <w:rsid w:val="00186047"/>
    <w:rsid w:val="001A456C"/>
    <w:rsid w:val="001B3FE7"/>
    <w:rsid w:val="001C463E"/>
    <w:rsid w:val="001C57B3"/>
    <w:rsid w:val="001C6CC1"/>
    <w:rsid w:val="001D5E07"/>
    <w:rsid w:val="00207BC6"/>
    <w:rsid w:val="00214DBB"/>
    <w:rsid w:val="00214E99"/>
    <w:rsid w:val="0021678F"/>
    <w:rsid w:val="002243BE"/>
    <w:rsid w:val="00225A29"/>
    <w:rsid w:val="00227A32"/>
    <w:rsid w:val="00233CD5"/>
    <w:rsid w:val="002375DF"/>
    <w:rsid w:val="00241B7B"/>
    <w:rsid w:val="0028258F"/>
    <w:rsid w:val="00292426"/>
    <w:rsid w:val="002936E7"/>
    <w:rsid w:val="002B3525"/>
    <w:rsid w:val="002C0130"/>
    <w:rsid w:val="002D5C2A"/>
    <w:rsid w:val="002E2237"/>
    <w:rsid w:val="002E23E7"/>
    <w:rsid w:val="002E5786"/>
    <w:rsid w:val="002F19D3"/>
    <w:rsid w:val="00314D24"/>
    <w:rsid w:val="00330A96"/>
    <w:rsid w:val="00330D6B"/>
    <w:rsid w:val="00332246"/>
    <w:rsid w:val="00336875"/>
    <w:rsid w:val="00340108"/>
    <w:rsid w:val="003455C4"/>
    <w:rsid w:val="003507F1"/>
    <w:rsid w:val="003536A9"/>
    <w:rsid w:val="00367401"/>
    <w:rsid w:val="00367790"/>
    <w:rsid w:val="00374454"/>
    <w:rsid w:val="0037597A"/>
    <w:rsid w:val="003831CC"/>
    <w:rsid w:val="003A4275"/>
    <w:rsid w:val="003A5BF8"/>
    <w:rsid w:val="003A70FE"/>
    <w:rsid w:val="003B2FAA"/>
    <w:rsid w:val="003C2335"/>
    <w:rsid w:val="003C66DC"/>
    <w:rsid w:val="003C6BB4"/>
    <w:rsid w:val="003D2A8B"/>
    <w:rsid w:val="003E23BA"/>
    <w:rsid w:val="003E6103"/>
    <w:rsid w:val="003F63C1"/>
    <w:rsid w:val="00461549"/>
    <w:rsid w:val="004725BE"/>
    <w:rsid w:val="00482C83"/>
    <w:rsid w:val="004E055E"/>
    <w:rsid w:val="004E3460"/>
    <w:rsid w:val="005130C0"/>
    <w:rsid w:val="0055253F"/>
    <w:rsid w:val="00563E4B"/>
    <w:rsid w:val="00577E67"/>
    <w:rsid w:val="00584E61"/>
    <w:rsid w:val="00596365"/>
    <w:rsid w:val="005B5B7F"/>
    <w:rsid w:val="005C280A"/>
    <w:rsid w:val="005D2264"/>
    <w:rsid w:val="005D795B"/>
    <w:rsid w:val="005E1284"/>
    <w:rsid w:val="005F2E50"/>
    <w:rsid w:val="00651391"/>
    <w:rsid w:val="00652890"/>
    <w:rsid w:val="00654BA0"/>
    <w:rsid w:val="0066042A"/>
    <w:rsid w:val="00677EC9"/>
    <w:rsid w:val="006905AC"/>
    <w:rsid w:val="006B5973"/>
    <w:rsid w:val="006D4E66"/>
    <w:rsid w:val="006E6084"/>
    <w:rsid w:val="00702604"/>
    <w:rsid w:val="00704BD3"/>
    <w:rsid w:val="007377A7"/>
    <w:rsid w:val="00743FE4"/>
    <w:rsid w:val="007539C6"/>
    <w:rsid w:val="007645A7"/>
    <w:rsid w:val="00766977"/>
    <w:rsid w:val="007857F7"/>
    <w:rsid w:val="00792CEF"/>
    <w:rsid w:val="007A61E6"/>
    <w:rsid w:val="007A77CE"/>
    <w:rsid w:val="007C19CB"/>
    <w:rsid w:val="007C5122"/>
    <w:rsid w:val="007C5516"/>
    <w:rsid w:val="007E7460"/>
    <w:rsid w:val="00817842"/>
    <w:rsid w:val="00817862"/>
    <w:rsid w:val="00831320"/>
    <w:rsid w:val="00837CE1"/>
    <w:rsid w:val="008437AD"/>
    <w:rsid w:val="0086137C"/>
    <w:rsid w:val="00861397"/>
    <w:rsid w:val="0086301C"/>
    <w:rsid w:val="00871E89"/>
    <w:rsid w:val="00890294"/>
    <w:rsid w:val="008A3FD6"/>
    <w:rsid w:val="008C0B1E"/>
    <w:rsid w:val="008C23F9"/>
    <w:rsid w:val="008C28D4"/>
    <w:rsid w:val="008D6617"/>
    <w:rsid w:val="008F7498"/>
    <w:rsid w:val="00906555"/>
    <w:rsid w:val="00911AF8"/>
    <w:rsid w:val="00912653"/>
    <w:rsid w:val="00920604"/>
    <w:rsid w:val="00922D90"/>
    <w:rsid w:val="00940A8F"/>
    <w:rsid w:val="00941964"/>
    <w:rsid w:val="00951B1B"/>
    <w:rsid w:val="009564C4"/>
    <w:rsid w:val="00962431"/>
    <w:rsid w:val="00962B25"/>
    <w:rsid w:val="00976934"/>
    <w:rsid w:val="009863E6"/>
    <w:rsid w:val="00992B7A"/>
    <w:rsid w:val="009966B6"/>
    <w:rsid w:val="009971B2"/>
    <w:rsid w:val="009A092F"/>
    <w:rsid w:val="009A0A7E"/>
    <w:rsid w:val="009A17EE"/>
    <w:rsid w:val="009A3A84"/>
    <w:rsid w:val="009A79A9"/>
    <w:rsid w:val="009D1963"/>
    <w:rsid w:val="009F52A6"/>
    <w:rsid w:val="00A12444"/>
    <w:rsid w:val="00A15D5F"/>
    <w:rsid w:val="00A17FFE"/>
    <w:rsid w:val="00A40508"/>
    <w:rsid w:val="00A414D0"/>
    <w:rsid w:val="00A42C92"/>
    <w:rsid w:val="00A46B5D"/>
    <w:rsid w:val="00A716BA"/>
    <w:rsid w:val="00A81892"/>
    <w:rsid w:val="00A836DA"/>
    <w:rsid w:val="00A93D97"/>
    <w:rsid w:val="00AC022B"/>
    <w:rsid w:val="00AC49BC"/>
    <w:rsid w:val="00AE17ED"/>
    <w:rsid w:val="00AE20FF"/>
    <w:rsid w:val="00B06FE5"/>
    <w:rsid w:val="00B073CD"/>
    <w:rsid w:val="00B25B39"/>
    <w:rsid w:val="00B267B3"/>
    <w:rsid w:val="00B36A07"/>
    <w:rsid w:val="00B41C7E"/>
    <w:rsid w:val="00B42D59"/>
    <w:rsid w:val="00B43178"/>
    <w:rsid w:val="00B46D51"/>
    <w:rsid w:val="00B5238C"/>
    <w:rsid w:val="00B556A1"/>
    <w:rsid w:val="00B721CE"/>
    <w:rsid w:val="00B96881"/>
    <w:rsid w:val="00B970BF"/>
    <w:rsid w:val="00BA4C20"/>
    <w:rsid w:val="00BE585B"/>
    <w:rsid w:val="00BE7D31"/>
    <w:rsid w:val="00C05935"/>
    <w:rsid w:val="00C26AE7"/>
    <w:rsid w:val="00C33188"/>
    <w:rsid w:val="00C40115"/>
    <w:rsid w:val="00C45EC0"/>
    <w:rsid w:val="00C46B9B"/>
    <w:rsid w:val="00C57BC3"/>
    <w:rsid w:val="00C85D12"/>
    <w:rsid w:val="00C91FA4"/>
    <w:rsid w:val="00CA4104"/>
    <w:rsid w:val="00CB5278"/>
    <w:rsid w:val="00CC11FE"/>
    <w:rsid w:val="00CC4B59"/>
    <w:rsid w:val="00CE4EBE"/>
    <w:rsid w:val="00CE6859"/>
    <w:rsid w:val="00CF30C1"/>
    <w:rsid w:val="00CF5FBC"/>
    <w:rsid w:val="00CF6564"/>
    <w:rsid w:val="00CF6E4A"/>
    <w:rsid w:val="00CF7E88"/>
    <w:rsid w:val="00D2402A"/>
    <w:rsid w:val="00D25535"/>
    <w:rsid w:val="00D31FE4"/>
    <w:rsid w:val="00D37725"/>
    <w:rsid w:val="00D466E8"/>
    <w:rsid w:val="00D53AB6"/>
    <w:rsid w:val="00D54C76"/>
    <w:rsid w:val="00D7193E"/>
    <w:rsid w:val="00D87763"/>
    <w:rsid w:val="00D910B5"/>
    <w:rsid w:val="00DA44D3"/>
    <w:rsid w:val="00DB576E"/>
    <w:rsid w:val="00DD1268"/>
    <w:rsid w:val="00DE74A6"/>
    <w:rsid w:val="00DF73C0"/>
    <w:rsid w:val="00E143DF"/>
    <w:rsid w:val="00E249B7"/>
    <w:rsid w:val="00E300C5"/>
    <w:rsid w:val="00E42F2F"/>
    <w:rsid w:val="00E532F3"/>
    <w:rsid w:val="00E654ED"/>
    <w:rsid w:val="00E806A6"/>
    <w:rsid w:val="00E8294A"/>
    <w:rsid w:val="00E867FC"/>
    <w:rsid w:val="00E86BFA"/>
    <w:rsid w:val="00E9210B"/>
    <w:rsid w:val="00EA0E41"/>
    <w:rsid w:val="00EB0C7A"/>
    <w:rsid w:val="00EB625C"/>
    <w:rsid w:val="00EC1D34"/>
    <w:rsid w:val="00EC75B2"/>
    <w:rsid w:val="00ED035D"/>
    <w:rsid w:val="00ED04B4"/>
    <w:rsid w:val="00EE20F0"/>
    <w:rsid w:val="00EE4AD0"/>
    <w:rsid w:val="00F00282"/>
    <w:rsid w:val="00F01E15"/>
    <w:rsid w:val="00F03C18"/>
    <w:rsid w:val="00F2598E"/>
    <w:rsid w:val="00F34A00"/>
    <w:rsid w:val="00F35C69"/>
    <w:rsid w:val="00F519AB"/>
    <w:rsid w:val="00F619B0"/>
    <w:rsid w:val="00F7235E"/>
    <w:rsid w:val="00F7614E"/>
    <w:rsid w:val="00F9681C"/>
    <w:rsid w:val="00F96BA7"/>
    <w:rsid w:val="00FA3FD3"/>
    <w:rsid w:val="00FA764C"/>
    <w:rsid w:val="00FD2A01"/>
    <w:rsid w:val="00FE0D2F"/>
    <w:rsid w:val="00FE34FF"/>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6084"/>
  </w:style>
  <w:style w:type="paragraph" w:styleId="Heading1">
    <w:name w:val="heading 1"/>
    <w:basedOn w:val="Normal"/>
    <w:next w:val="Normal"/>
    <w:link w:val="Heading1Char"/>
    <w:uiPriority w:val="9"/>
    <w:qFormat/>
    <w:rsid w:val="003322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32246"/>
    <w:pPr>
      <w:spacing w:after="0" w:line="240" w:lineRule="auto"/>
    </w:pPr>
  </w:style>
  <w:style w:type="character" w:customStyle="1" w:styleId="Heading1Char">
    <w:name w:val="Heading 1 Char"/>
    <w:basedOn w:val="DefaultParagraphFont"/>
    <w:link w:val="Heading1"/>
    <w:uiPriority w:val="9"/>
    <w:rsid w:val="00332246"/>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0542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4295"/>
  </w:style>
  <w:style w:type="paragraph" w:styleId="Footer">
    <w:name w:val="footer"/>
    <w:basedOn w:val="Normal"/>
    <w:link w:val="FooterChar"/>
    <w:uiPriority w:val="99"/>
    <w:unhideWhenUsed/>
    <w:rsid w:val="000542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4295"/>
  </w:style>
  <w:style w:type="paragraph" w:styleId="ListParagraph">
    <w:name w:val="List Paragraph"/>
    <w:basedOn w:val="Normal"/>
    <w:uiPriority w:val="34"/>
    <w:qFormat/>
    <w:rsid w:val="000A1858"/>
    <w:pPr>
      <w:ind w:left="720"/>
      <w:contextualSpacing/>
    </w:pPr>
  </w:style>
  <w:style w:type="paragraph" w:styleId="BalloonText">
    <w:name w:val="Balloon Text"/>
    <w:basedOn w:val="Normal"/>
    <w:link w:val="BalloonTextChar"/>
    <w:uiPriority w:val="99"/>
    <w:semiHidden/>
    <w:unhideWhenUsed/>
    <w:rsid w:val="00B42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2D5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3.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hyperlink" Target="http://www.nrb.org.np"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standardchareteredbank.com"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chart" Target="charts/chart8.xm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7.xml"/><Relationship Id="rId27"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Share Ownership Composition</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620.78000000000054</c:v>
                </c:pt>
                <c:pt idx="1">
                  <c:v>931.97</c:v>
                </c:pt>
                <c:pt idx="2">
                  <c:v>1398.48</c:v>
                </c:pt>
                <c:pt idx="3">
                  <c:v>1610.1699999999998</c:v>
                </c:pt>
                <c:pt idx="4">
                  <c:v>1610.1699999999998</c:v>
                </c:pt>
              </c:numCache>
            </c:numRef>
          </c:val>
          <c:smooth val="0"/>
        </c:ser>
        <c:ser>
          <c:idx val="1"/>
          <c:order val="1"/>
          <c:tx>
            <c:strRef>
              <c:f>Sheet1!$C$1</c:f>
              <c:strCache>
                <c:ptCount val="1"/>
                <c:pt idx="0">
                  <c:v>Series 2</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Series 3</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114592768"/>
        <c:axId val="93188864"/>
      </c:lineChart>
      <c:catAx>
        <c:axId val="114592768"/>
        <c:scaling>
          <c:orientation val="minMax"/>
        </c:scaling>
        <c:delete val="0"/>
        <c:axPos val="b"/>
        <c:majorTickMark val="out"/>
        <c:minorTickMark val="none"/>
        <c:tickLblPos val="nextTo"/>
        <c:crossAx val="93188864"/>
        <c:crosses val="autoZero"/>
        <c:auto val="1"/>
        <c:lblAlgn val="ctr"/>
        <c:lblOffset val="100"/>
        <c:noMultiLvlLbl val="0"/>
      </c:catAx>
      <c:valAx>
        <c:axId val="93188864"/>
        <c:scaling>
          <c:orientation val="minMax"/>
        </c:scaling>
        <c:delete val="0"/>
        <c:axPos val="l"/>
        <c:majorGridlines/>
        <c:numFmt formatCode="General" sourceLinked="1"/>
        <c:majorTickMark val="out"/>
        <c:minorTickMark val="none"/>
        <c:tickLblPos val="nextTo"/>
        <c:crossAx val="114592768"/>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General Reserve Composition</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1871.76</c:v>
                </c:pt>
                <c:pt idx="1">
                  <c:v>2120.5</c:v>
                </c:pt>
                <c:pt idx="2">
                  <c:v>1761.45</c:v>
                </c:pt>
                <c:pt idx="3">
                  <c:v>2067.61</c:v>
                </c:pt>
                <c:pt idx="4">
                  <c:v>2270.48</c:v>
                </c:pt>
              </c:numCache>
            </c:numRef>
          </c:val>
          <c:smooth val="0"/>
        </c:ser>
        <c:ser>
          <c:idx val="1"/>
          <c:order val="1"/>
          <c:tx>
            <c:strRef>
              <c:f>Sheet1!$C$1</c:f>
              <c:strCache>
                <c:ptCount val="1"/>
                <c:pt idx="0">
                  <c:v>Series 2</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Series 3</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3157632"/>
        <c:axId val="93171712"/>
      </c:lineChart>
      <c:catAx>
        <c:axId val="93157632"/>
        <c:scaling>
          <c:orientation val="minMax"/>
        </c:scaling>
        <c:delete val="0"/>
        <c:axPos val="b"/>
        <c:majorTickMark val="out"/>
        <c:minorTickMark val="none"/>
        <c:tickLblPos val="nextTo"/>
        <c:crossAx val="93171712"/>
        <c:crosses val="autoZero"/>
        <c:auto val="1"/>
        <c:lblAlgn val="ctr"/>
        <c:lblOffset val="100"/>
        <c:noMultiLvlLbl val="0"/>
      </c:catAx>
      <c:valAx>
        <c:axId val="93171712"/>
        <c:scaling>
          <c:orientation val="minMax"/>
        </c:scaling>
        <c:delete val="0"/>
        <c:axPos val="l"/>
        <c:majorGridlines/>
        <c:numFmt formatCode="General" sourceLinked="1"/>
        <c:majorTickMark val="out"/>
        <c:minorTickMark val="none"/>
        <c:tickLblPos val="nextTo"/>
        <c:crossAx val="93157632"/>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Deposit Account</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29743.99</c:v>
                </c:pt>
                <c:pt idx="1">
                  <c:v>35871.719999999994</c:v>
                </c:pt>
                <c:pt idx="2">
                  <c:v>35182.719999999994</c:v>
                </c:pt>
                <c:pt idx="3">
                  <c:v>37999.24</c:v>
                </c:pt>
                <c:pt idx="4">
                  <c:v>35965.629999999997</c:v>
                </c:pt>
              </c:numCache>
            </c:numRef>
          </c:val>
          <c:smooth val="0"/>
        </c:ser>
        <c:ser>
          <c:idx val="1"/>
          <c:order val="1"/>
          <c:tx>
            <c:strRef>
              <c:f>Sheet1!$C$1</c:f>
              <c:strCache>
                <c:ptCount val="1"/>
                <c:pt idx="0">
                  <c:v>Column1</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Column2</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3472640"/>
        <c:axId val="93474176"/>
      </c:lineChart>
      <c:catAx>
        <c:axId val="93472640"/>
        <c:scaling>
          <c:orientation val="minMax"/>
        </c:scaling>
        <c:delete val="0"/>
        <c:axPos val="b"/>
        <c:majorTickMark val="out"/>
        <c:minorTickMark val="none"/>
        <c:tickLblPos val="nextTo"/>
        <c:crossAx val="93474176"/>
        <c:crosses val="autoZero"/>
        <c:auto val="1"/>
        <c:lblAlgn val="ctr"/>
        <c:lblOffset val="100"/>
        <c:noMultiLvlLbl val="0"/>
      </c:catAx>
      <c:valAx>
        <c:axId val="93474176"/>
        <c:scaling>
          <c:orientation val="minMax"/>
        </c:scaling>
        <c:delete val="0"/>
        <c:axPos val="l"/>
        <c:majorGridlines/>
        <c:numFmt formatCode="General" sourceLinked="1"/>
        <c:majorTickMark val="out"/>
        <c:minorTickMark val="none"/>
        <c:tickLblPos val="nextTo"/>
        <c:crossAx val="93472640"/>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Non-Interest Bearing Accounts </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6648.6</c:v>
                </c:pt>
                <c:pt idx="1">
                  <c:v>6580.8200000000024</c:v>
                </c:pt>
                <c:pt idx="2">
                  <c:v>10014.4</c:v>
                </c:pt>
                <c:pt idx="3">
                  <c:v>11837.29</c:v>
                </c:pt>
                <c:pt idx="4">
                  <c:v>12184.52</c:v>
                </c:pt>
              </c:numCache>
            </c:numRef>
          </c:val>
          <c:smooth val="0"/>
        </c:ser>
        <c:ser>
          <c:idx val="1"/>
          <c:order val="1"/>
          <c:tx>
            <c:strRef>
              <c:f>Sheet1!$C$1</c:f>
              <c:strCache>
                <c:ptCount val="1"/>
                <c:pt idx="0">
                  <c:v>Column1</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Column2</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3496832"/>
        <c:axId val="93498368"/>
      </c:lineChart>
      <c:catAx>
        <c:axId val="93496832"/>
        <c:scaling>
          <c:orientation val="minMax"/>
        </c:scaling>
        <c:delete val="0"/>
        <c:axPos val="b"/>
        <c:majorTickMark val="out"/>
        <c:minorTickMark val="none"/>
        <c:tickLblPos val="nextTo"/>
        <c:crossAx val="93498368"/>
        <c:crosses val="autoZero"/>
        <c:auto val="1"/>
        <c:lblAlgn val="ctr"/>
        <c:lblOffset val="100"/>
        <c:noMultiLvlLbl val="0"/>
      </c:catAx>
      <c:valAx>
        <c:axId val="93498368"/>
        <c:scaling>
          <c:orientation val="minMax"/>
        </c:scaling>
        <c:delete val="0"/>
        <c:axPos val="l"/>
        <c:majorGridlines/>
        <c:numFmt formatCode="General" sourceLinked="1"/>
        <c:majorTickMark val="out"/>
        <c:minorTickMark val="none"/>
        <c:tickLblPos val="nextTo"/>
        <c:crossAx val="93496832"/>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Interest Bearing Accounts</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23095.39</c:v>
                </c:pt>
                <c:pt idx="1">
                  <c:v>29290.9</c:v>
                </c:pt>
                <c:pt idx="2">
                  <c:v>25168.32</c:v>
                </c:pt>
                <c:pt idx="3">
                  <c:v>26161.95</c:v>
                </c:pt>
                <c:pt idx="4">
                  <c:v>23781.109999999931</c:v>
                </c:pt>
              </c:numCache>
            </c:numRef>
          </c:val>
          <c:smooth val="0"/>
        </c:ser>
        <c:ser>
          <c:idx val="1"/>
          <c:order val="1"/>
          <c:tx>
            <c:strRef>
              <c:f>Sheet1!$C$1</c:f>
              <c:strCache>
                <c:ptCount val="1"/>
                <c:pt idx="0">
                  <c:v>Column1</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Column2</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6707712"/>
        <c:axId val="96709248"/>
      </c:lineChart>
      <c:catAx>
        <c:axId val="96707712"/>
        <c:scaling>
          <c:orientation val="minMax"/>
        </c:scaling>
        <c:delete val="0"/>
        <c:axPos val="b"/>
        <c:majorTickMark val="out"/>
        <c:minorTickMark val="none"/>
        <c:tickLblPos val="nextTo"/>
        <c:crossAx val="96709248"/>
        <c:crosses val="autoZero"/>
        <c:auto val="1"/>
        <c:lblAlgn val="ctr"/>
        <c:lblOffset val="100"/>
        <c:noMultiLvlLbl val="0"/>
      </c:catAx>
      <c:valAx>
        <c:axId val="96709248"/>
        <c:scaling>
          <c:orientation val="minMax"/>
        </c:scaling>
        <c:delete val="0"/>
        <c:axPos val="l"/>
        <c:majorGridlines/>
        <c:numFmt formatCode="General" sourceLinked="1"/>
        <c:majorTickMark val="out"/>
        <c:minorTickMark val="none"/>
        <c:tickLblPos val="nextTo"/>
        <c:crossAx val="96707712"/>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Inveatment Structure Composition</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13927.19</c:v>
                </c:pt>
                <c:pt idx="1">
                  <c:v>20260.490000000005</c:v>
                </c:pt>
                <c:pt idx="2">
                  <c:v>19871.89</c:v>
                </c:pt>
                <c:pt idx="3">
                  <c:v>17283.060000000001</c:v>
                </c:pt>
                <c:pt idx="4">
                  <c:v>12962.59</c:v>
                </c:pt>
              </c:numCache>
            </c:numRef>
          </c:val>
          <c:smooth val="0"/>
        </c:ser>
        <c:ser>
          <c:idx val="1"/>
          <c:order val="1"/>
          <c:tx>
            <c:strRef>
              <c:f>Sheet1!$C$1</c:f>
              <c:strCache>
                <c:ptCount val="1"/>
                <c:pt idx="0">
                  <c:v>Column1</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Column2</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6727808"/>
        <c:axId val="96729344"/>
      </c:lineChart>
      <c:catAx>
        <c:axId val="96727808"/>
        <c:scaling>
          <c:orientation val="minMax"/>
        </c:scaling>
        <c:delete val="0"/>
        <c:axPos val="b"/>
        <c:majorTickMark val="out"/>
        <c:minorTickMark val="none"/>
        <c:tickLblPos val="nextTo"/>
        <c:crossAx val="96729344"/>
        <c:crosses val="autoZero"/>
        <c:auto val="1"/>
        <c:lblAlgn val="ctr"/>
        <c:lblOffset val="100"/>
        <c:noMultiLvlLbl val="0"/>
      </c:catAx>
      <c:valAx>
        <c:axId val="96729344"/>
        <c:scaling>
          <c:orientation val="minMax"/>
        </c:scaling>
        <c:delete val="0"/>
        <c:axPos val="l"/>
        <c:majorGridlines/>
        <c:numFmt formatCode="General" sourceLinked="1"/>
        <c:majorTickMark val="out"/>
        <c:minorTickMark val="none"/>
        <c:tickLblPos val="nextTo"/>
        <c:crossAx val="96727808"/>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Loans and Advances</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13354.58</c:v>
                </c:pt>
                <c:pt idx="1">
                  <c:v>13118.59</c:v>
                </c:pt>
                <c:pt idx="2">
                  <c:v>15932.16</c:v>
                </c:pt>
                <c:pt idx="3">
                  <c:v>17698.240000000005</c:v>
                </c:pt>
                <c:pt idx="4">
                  <c:v>18375.97</c:v>
                </c:pt>
              </c:numCache>
            </c:numRef>
          </c:val>
          <c:smooth val="0"/>
        </c:ser>
        <c:ser>
          <c:idx val="1"/>
          <c:order val="1"/>
          <c:tx>
            <c:strRef>
              <c:f>Sheet1!$C$1</c:f>
              <c:strCache>
                <c:ptCount val="1"/>
                <c:pt idx="0">
                  <c:v>Series 2</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pt idx="0">
                  <c:v>2.4</c:v>
                </c:pt>
                <c:pt idx="1">
                  <c:v>4.4000000000000004</c:v>
                </c:pt>
                <c:pt idx="2">
                  <c:v>1.8</c:v>
                </c:pt>
                <c:pt idx="3">
                  <c:v>2.8</c:v>
                </c:pt>
              </c:numCache>
            </c:numRef>
          </c:val>
          <c:smooth val="0"/>
        </c:ser>
        <c:ser>
          <c:idx val="2"/>
          <c:order val="2"/>
          <c:tx>
            <c:strRef>
              <c:f>Sheet1!$D$1</c:f>
              <c:strCache>
                <c:ptCount val="1"/>
                <c:pt idx="0">
                  <c:v>Series 3</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pt idx="0">
                  <c:v>2</c:v>
                </c:pt>
                <c:pt idx="1">
                  <c:v>2</c:v>
                </c:pt>
                <c:pt idx="2">
                  <c:v>3</c:v>
                </c:pt>
                <c:pt idx="3">
                  <c:v>5</c:v>
                </c:pt>
              </c:numCache>
            </c:numRef>
          </c:val>
          <c:smooth val="0"/>
        </c:ser>
        <c:dLbls>
          <c:showLegendKey val="0"/>
          <c:showVal val="0"/>
          <c:showCatName val="0"/>
          <c:showSerName val="0"/>
          <c:showPercent val="0"/>
          <c:showBubbleSize val="0"/>
        </c:dLbls>
        <c:marker val="1"/>
        <c:smooth val="0"/>
        <c:axId val="99115392"/>
        <c:axId val="99116928"/>
      </c:lineChart>
      <c:catAx>
        <c:axId val="99115392"/>
        <c:scaling>
          <c:orientation val="minMax"/>
        </c:scaling>
        <c:delete val="0"/>
        <c:axPos val="b"/>
        <c:majorTickMark val="out"/>
        <c:minorTickMark val="none"/>
        <c:tickLblPos val="nextTo"/>
        <c:crossAx val="99116928"/>
        <c:crosses val="autoZero"/>
        <c:auto val="1"/>
        <c:lblAlgn val="ctr"/>
        <c:lblOffset val="100"/>
        <c:noMultiLvlLbl val="0"/>
      </c:catAx>
      <c:valAx>
        <c:axId val="99116928"/>
        <c:scaling>
          <c:orientation val="minMax"/>
        </c:scaling>
        <c:delete val="0"/>
        <c:axPos val="l"/>
        <c:majorGridlines/>
        <c:numFmt formatCode="General" sourceLinked="1"/>
        <c:majorTickMark val="out"/>
        <c:minorTickMark val="none"/>
        <c:tickLblPos val="nextTo"/>
        <c:crossAx val="99115392"/>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Sheet1!$B$1</c:f>
              <c:strCache>
                <c:ptCount val="1"/>
                <c:pt idx="0">
                  <c:v>Non-Performing Loans</c:v>
                </c:pt>
              </c:strCache>
            </c:strRef>
          </c:tx>
          <c:marker>
            <c:symbol val="none"/>
          </c:marker>
          <c:cat>
            <c:strRef>
              <c:f>Sheet1!$A$2:$A$6</c:f>
              <c:strCache>
                <c:ptCount val="5"/>
                <c:pt idx="0">
                  <c:v>2064/65</c:v>
                </c:pt>
                <c:pt idx="1">
                  <c:v>2065/66</c:v>
                </c:pt>
                <c:pt idx="2">
                  <c:v>2066/67</c:v>
                </c:pt>
                <c:pt idx="3">
                  <c:v>2067/68</c:v>
                </c:pt>
                <c:pt idx="4">
                  <c:v>2068/69</c:v>
                </c:pt>
              </c:strCache>
            </c:strRef>
          </c:cat>
          <c:val>
            <c:numRef>
              <c:f>Sheet1!$B$2:$B$6</c:f>
              <c:numCache>
                <c:formatCode>General</c:formatCode>
                <c:ptCount val="5"/>
                <c:pt idx="0">
                  <c:v>128.72</c:v>
                </c:pt>
                <c:pt idx="1">
                  <c:v>91.04</c:v>
                </c:pt>
                <c:pt idx="2">
                  <c:v>98.14</c:v>
                </c:pt>
                <c:pt idx="3">
                  <c:v>115.8</c:v>
                </c:pt>
                <c:pt idx="4">
                  <c:v>154.49</c:v>
                </c:pt>
              </c:numCache>
            </c:numRef>
          </c:val>
          <c:smooth val="0"/>
        </c:ser>
        <c:ser>
          <c:idx val="1"/>
          <c:order val="1"/>
          <c:tx>
            <c:strRef>
              <c:f>Sheet1!$C$1</c:f>
              <c:strCache>
                <c:ptCount val="1"/>
                <c:pt idx="0">
                  <c:v>Column1</c:v>
                </c:pt>
              </c:strCache>
            </c:strRef>
          </c:tx>
          <c:marker>
            <c:symbol val="none"/>
          </c:marker>
          <c:cat>
            <c:strRef>
              <c:f>Sheet1!$A$2:$A$6</c:f>
              <c:strCache>
                <c:ptCount val="5"/>
                <c:pt idx="0">
                  <c:v>2064/65</c:v>
                </c:pt>
                <c:pt idx="1">
                  <c:v>2065/66</c:v>
                </c:pt>
                <c:pt idx="2">
                  <c:v>2066/67</c:v>
                </c:pt>
                <c:pt idx="3">
                  <c:v>2067/68</c:v>
                </c:pt>
                <c:pt idx="4">
                  <c:v>2068/69</c:v>
                </c:pt>
              </c:strCache>
            </c:strRef>
          </c:cat>
          <c:val>
            <c:numRef>
              <c:f>Sheet1!$C$2:$C$6</c:f>
              <c:numCache>
                <c:formatCode>General</c:formatCode>
                <c:ptCount val="5"/>
              </c:numCache>
            </c:numRef>
          </c:val>
          <c:smooth val="0"/>
        </c:ser>
        <c:ser>
          <c:idx val="2"/>
          <c:order val="2"/>
          <c:tx>
            <c:strRef>
              <c:f>Sheet1!$D$1</c:f>
              <c:strCache>
                <c:ptCount val="1"/>
                <c:pt idx="0">
                  <c:v>Column2</c:v>
                </c:pt>
              </c:strCache>
            </c:strRef>
          </c:tx>
          <c:marker>
            <c:symbol val="none"/>
          </c:marker>
          <c:cat>
            <c:strRef>
              <c:f>Sheet1!$A$2:$A$6</c:f>
              <c:strCache>
                <c:ptCount val="5"/>
                <c:pt idx="0">
                  <c:v>2064/65</c:v>
                </c:pt>
                <c:pt idx="1">
                  <c:v>2065/66</c:v>
                </c:pt>
                <c:pt idx="2">
                  <c:v>2066/67</c:v>
                </c:pt>
                <c:pt idx="3">
                  <c:v>2067/68</c:v>
                </c:pt>
                <c:pt idx="4">
                  <c:v>2068/69</c:v>
                </c:pt>
              </c:strCache>
            </c:strRef>
          </c:cat>
          <c:val>
            <c:numRef>
              <c:f>Sheet1!$D$2:$D$6</c:f>
              <c:numCache>
                <c:formatCode>General</c:formatCode>
                <c:ptCount val="5"/>
              </c:numCache>
            </c:numRef>
          </c:val>
          <c:smooth val="0"/>
        </c:ser>
        <c:dLbls>
          <c:showLegendKey val="0"/>
          <c:showVal val="0"/>
          <c:showCatName val="0"/>
          <c:showSerName val="0"/>
          <c:showPercent val="0"/>
          <c:showBubbleSize val="0"/>
        </c:dLbls>
        <c:marker val="1"/>
        <c:smooth val="0"/>
        <c:axId val="99135488"/>
        <c:axId val="99137024"/>
      </c:lineChart>
      <c:catAx>
        <c:axId val="99135488"/>
        <c:scaling>
          <c:orientation val="minMax"/>
        </c:scaling>
        <c:delete val="0"/>
        <c:axPos val="b"/>
        <c:majorTickMark val="out"/>
        <c:minorTickMark val="none"/>
        <c:tickLblPos val="nextTo"/>
        <c:crossAx val="99137024"/>
        <c:crosses val="autoZero"/>
        <c:auto val="1"/>
        <c:lblAlgn val="ctr"/>
        <c:lblOffset val="100"/>
        <c:noMultiLvlLbl val="0"/>
      </c:catAx>
      <c:valAx>
        <c:axId val="99137024"/>
        <c:scaling>
          <c:orientation val="minMax"/>
        </c:scaling>
        <c:delete val="0"/>
        <c:axPos val="l"/>
        <c:majorGridlines/>
        <c:numFmt formatCode="General" sourceLinked="1"/>
        <c:majorTickMark val="out"/>
        <c:minorTickMark val="none"/>
        <c:tickLblPos val="nextTo"/>
        <c:crossAx val="99135488"/>
        <c:crosses val="autoZero"/>
        <c:crossBetween val="between"/>
      </c:valAx>
    </c:plotArea>
    <c:legend>
      <c:legendPos val="r"/>
      <c:legendEntry>
        <c:idx val="0"/>
        <c:delete val="1"/>
      </c:legendEntry>
      <c:legendEntry>
        <c:idx val="1"/>
        <c:delete val="1"/>
      </c:legendEntry>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1B49BB-5264-4742-836F-CD330A661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1398</TotalTime>
  <Pages>69</Pages>
  <Words>17063</Words>
  <Characters>97262</Characters>
  <Application>Microsoft Office Word</Application>
  <DocSecurity>0</DocSecurity>
  <Lines>810</Lines>
  <Paragraphs>228</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114097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tucl6</cp:lastModifiedBy>
  <cp:revision>147</cp:revision>
  <cp:lastPrinted>2013-04-06T14:00:00Z</cp:lastPrinted>
  <dcterms:created xsi:type="dcterms:W3CDTF">2013-03-13T07:04:00Z</dcterms:created>
  <dcterms:modified xsi:type="dcterms:W3CDTF">2023-05-31T05:29:00Z</dcterms:modified>
</cp:coreProperties>
</file>